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>Pełnienie obowiązków zespołu inspektorów nadzoru inwestorskiego przy realizacji zadania inwestycyjnego pn.: „Wymiana nawierzchni ulic</w:t>
      </w:r>
      <w:bookmarkStart w:id="0" w:name="_GoBack"/>
      <w:bookmarkEnd w:id="0"/>
      <w:r w:rsidR="00C94922">
        <w:rPr>
          <w:rFonts w:ascii="Calibri" w:hAnsi="Calibri" w:cs="Calibri"/>
          <w:sz w:val="22"/>
          <w:szCs w:val="22"/>
        </w:rPr>
        <w:t xml:space="preserve"> </w:t>
      </w:r>
      <w:r w:rsidR="00C94922" w:rsidRPr="00C94922">
        <w:rPr>
          <w:rFonts w:ascii="Calibri" w:hAnsi="Calibri" w:cs="Calibri"/>
          <w:sz w:val="22"/>
          <w:szCs w:val="22"/>
        </w:rPr>
        <w:t>H. Arctowskiego, S. Szolc-Rogozińskiego, Rzewuskiego w Poznaniu na płyty ażurowe.</w:t>
      </w:r>
      <w:r w:rsidRPr="001F72D0">
        <w:rPr>
          <w:rFonts w:ascii="Calibri" w:hAnsi="Calibri" w:cs="Calibri"/>
          <w:sz w:val="22"/>
          <w:szCs w:val="22"/>
        </w:rPr>
        <w:t>”.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 tym: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10"/>
          <w:szCs w:val="10"/>
          <w:lang w:val="pl-PL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Nadzoru branży drogowej (koordynator) 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Nadzoru Terenów Zielonych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lastRenderedPageBreak/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F77D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A70001">
      <w:rPr>
        <w:rFonts w:ascii="Arial Narrow" w:hAnsi="Arial Narrow"/>
      </w:rPr>
      <w:t>1</w:t>
    </w:r>
    <w:r w:rsidR="00C94922">
      <w:rPr>
        <w:rFonts w:ascii="Arial Narrow" w:hAnsi="Arial Narrow"/>
      </w:rPr>
      <w:t>6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67C37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4922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C1FA106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5AA2-C0AF-46E6-89C6-0FBA55F1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220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Izabella Dynkowska</cp:lastModifiedBy>
  <cp:revision>11</cp:revision>
  <cp:lastPrinted>2024-08-26T07:02:00Z</cp:lastPrinted>
  <dcterms:created xsi:type="dcterms:W3CDTF">2025-06-16T12:16:00Z</dcterms:created>
  <dcterms:modified xsi:type="dcterms:W3CDTF">2026-03-13T10:52:00Z</dcterms:modified>
</cp:coreProperties>
</file>