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C6969" w14:textId="77777777" w:rsidR="000A36BA" w:rsidRPr="000A36BA" w:rsidRDefault="000A36BA" w:rsidP="000A36BA">
      <w:pPr>
        <w:spacing w:after="0" w:line="240" w:lineRule="auto"/>
        <w:jc w:val="both"/>
        <w:rPr>
          <w:rFonts w:ascii="Arial Narrow" w:eastAsia="Times New Roman" w:hAnsi="Arial Narrow" w:cs="Arial"/>
          <w:b/>
          <w:u w:val="single"/>
          <w:lang w:eastAsia="pl-PL"/>
        </w:rPr>
      </w:pPr>
      <w:r w:rsidRPr="000A36BA">
        <w:rPr>
          <w:rFonts w:ascii="Arial Narrow" w:eastAsia="Times New Roman" w:hAnsi="Arial Narrow" w:cs="Tahoma"/>
          <w:b/>
          <w:u w:val="single"/>
          <w:lang w:eastAsia="pl-PL"/>
        </w:rPr>
        <w:t>Wymagania dotyczące umowy o podwykonawstwo lub dalsze podwykonawstwo, której przedmiotem są roboty budowlane:</w:t>
      </w:r>
    </w:p>
    <w:p w14:paraId="0734C1F5"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umowa o podwykonawstwo  musi zawierać dokładne określenie zakresu prac podlegających podzleceniu,</w:t>
      </w:r>
    </w:p>
    <w:p w14:paraId="0E017B32"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 xml:space="preserve">do umowy należy dołączyć </w:t>
      </w:r>
      <w:r w:rsidRPr="00FD3001">
        <w:rPr>
          <w:rFonts w:ascii="Arial Narrow" w:eastAsia="Times New Roman" w:hAnsi="Arial Narrow" w:cs="Times New Roman"/>
          <w:lang w:eastAsia="pl-PL"/>
        </w:rPr>
        <w:t>kosztorys ofertowy sporządzony przez podwykonawcę lub dalszego podwykonawcę na bazie kosztorysu ofertowego</w:t>
      </w:r>
      <w:r w:rsidRPr="00062F5C">
        <w:rPr>
          <w:rFonts w:ascii="Arial Narrow" w:eastAsia="Times New Roman" w:hAnsi="Arial Narrow" w:cs="Times New Roman"/>
          <w:lang w:eastAsia="pl-PL"/>
        </w:rPr>
        <w:t xml:space="preserve"> załączonego do umowy łączącej Wykonawcę</w:t>
      </w:r>
      <w:r w:rsidRPr="00062F5C">
        <w:rPr>
          <w:rFonts w:ascii="Arial Narrow" w:eastAsia="Times New Roman" w:hAnsi="Arial Narrow" w:cs="Times New Roman"/>
          <w:lang w:eastAsia="pl-PL"/>
        </w:rPr>
        <w:br/>
        <w:t>i Zamawiającego,</w:t>
      </w:r>
    </w:p>
    <w:p w14:paraId="69DFE090"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 xml:space="preserve">ceny jednostkowe podzleconych robót nie mogą być wyższe aniżeli ceny jednostkowe należne Wykonawcy </w:t>
      </w:r>
      <w:r w:rsidRPr="00062F5C">
        <w:rPr>
          <w:rFonts w:ascii="Arial Narrow" w:eastAsia="Times New Roman" w:hAnsi="Arial Narrow" w:cs="Times New Roman"/>
          <w:lang w:eastAsia="pl-PL"/>
        </w:rPr>
        <w:br/>
        <w:t>z tytułu ich wykonania przewidziane w umowie pomiędzy Zamawiającym a Wykonawcą,</w:t>
      </w:r>
    </w:p>
    <w:p w14:paraId="4CB6E561"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termin zapłaty wynagrodzenia w umowie o podwykonawstwo nie może być dłuższy niż 30 dni,</w:t>
      </w:r>
    </w:p>
    <w:p w14:paraId="1F8A97C0"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w przypadku podmiotów tworzących konsorcjum umowa z podwykonawcą lub dalszym podwykonawcą powinna zostać zawarta w imieniu i na rzecz wszystkich uczestników konsorcjum oraz przewidywać ich solidarną odpowiedzialność za zapłatę wynagrodzenia za wykonane na jej podstawie roboty,</w:t>
      </w:r>
    </w:p>
    <w:p w14:paraId="22EC6E9A" w14:textId="12B73CB3"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w umowie należy zastrzec, że w przypadku, gdy faktury wystawione na jej podstawie zawierać będą kwoty mające zostać zatrzymane lub stanowić będą wzajemne kompensaty, całość kwoty, na jaką opiewa faktura, traktuje się jako zapłatę należnego podwykonawcy lub dalszemu podwykonawcy wynagrodzenia z tytułu wykonanych prac,</w:t>
      </w:r>
    </w:p>
    <w:p w14:paraId="635BD938"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w umowie należy zastrzec, że podwykonawca lub dalszy podwykonawca nie może przenosić wierzytelności wynikających z umowy podwykonawczej bez uprzedniej zgody Wykonawcy i Zamawiającego,</w:t>
      </w:r>
    </w:p>
    <w:p w14:paraId="55A919ED"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 xml:space="preserve">umowa o podwykonawstwo </w:t>
      </w:r>
      <w:r w:rsidRPr="00062F5C">
        <w:rPr>
          <w:rFonts w:ascii="Arial Narrow" w:eastAsia="Times New Roman" w:hAnsi="Arial Narrow" w:cs="Arial"/>
          <w:lang w:eastAsia="pl-PL"/>
        </w:rPr>
        <w:t xml:space="preserve">nie może uzależniać wypłaty wynagrodzenia podwykonawcy lub dalszego podwykonawcy od zapłaty wynagrodzenia przez Zamawiającego na rzecz Wykonawcy, jak również nie może uzależniać dokonania odbioru robót wykonanych przez podwykonawcę lub dalszego podwykonawcę </w:t>
      </w:r>
      <w:r w:rsidRPr="00062F5C">
        <w:rPr>
          <w:rFonts w:ascii="Arial Narrow" w:eastAsia="Times New Roman" w:hAnsi="Arial Narrow" w:cs="Arial"/>
          <w:lang w:eastAsia="pl-PL"/>
        </w:rPr>
        <w:br/>
        <w:t>od dokonania przez Zamawiającego odbioru robót wykonanych przez Wykonawcę,</w:t>
      </w:r>
    </w:p>
    <w:p w14:paraId="6A9089EF" w14:textId="77777777" w:rsidR="000A36BA" w:rsidRPr="00062F5C"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Arial"/>
          <w:lang w:eastAsia="pl-PL"/>
        </w:rPr>
        <w:t>suma wynagrodzeń podwykonawców lub dalszych podwykonawców wynikających z przedłożonych Zamawiającemu umów nie może być wyższa od wynagrodzenia Wykonawcy przewidzianego w umowie,</w:t>
      </w:r>
    </w:p>
    <w:p w14:paraId="460885C4" w14:textId="77777777" w:rsidR="000A36BA" w:rsidRDefault="000A36BA" w:rsidP="000A36BA">
      <w:pPr>
        <w:numPr>
          <w:ilvl w:val="0"/>
          <w:numId w:val="1"/>
        </w:numPr>
        <w:tabs>
          <w:tab w:val="clear" w:pos="720"/>
          <w:tab w:val="num" w:pos="426"/>
        </w:tabs>
        <w:spacing w:after="0" w:line="240" w:lineRule="auto"/>
        <w:ind w:left="426" w:hanging="444"/>
        <w:jc w:val="both"/>
        <w:rPr>
          <w:rFonts w:ascii="Arial Narrow" w:eastAsia="Times New Roman" w:hAnsi="Arial Narrow" w:cs="Times New Roman"/>
          <w:lang w:eastAsia="pl-PL"/>
        </w:rPr>
      </w:pPr>
      <w:r w:rsidRPr="00062F5C">
        <w:rPr>
          <w:rFonts w:ascii="Arial Narrow" w:eastAsia="Times New Roman" w:hAnsi="Arial Narrow" w:cs="Times New Roman"/>
          <w:lang w:eastAsia="pl-PL"/>
        </w:rPr>
        <w:t xml:space="preserve">w umowie należy zastrzec obowiązek zapoznania się przez podwykonawcę lub dalszego podwykonawcę </w:t>
      </w:r>
      <w:r w:rsidRPr="00062F5C">
        <w:rPr>
          <w:rFonts w:ascii="Arial Narrow" w:eastAsia="Times New Roman" w:hAnsi="Arial Narrow" w:cs="Times New Roman"/>
          <w:lang w:eastAsia="pl-PL"/>
        </w:rPr>
        <w:br/>
        <w:t xml:space="preserve">z Polityką Systemu Zarządzania Zamawiającego oraz Wykazem Znaczących Aspektów Środowiskowych </w:t>
      </w:r>
      <w:r w:rsidRPr="00062F5C">
        <w:rPr>
          <w:rFonts w:ascii="Arial Narrow" w:eastAsia="Times New Roman" w:hAnsi="Arial Narrow" w:cs="Times New Roman"/>
          <w:lang w:eastAsia="pl-PL"/>
        </w:rPr>
        <w:br/>
        <w:t>i uwzględnienia tych zapisów przy realizacji przedmiotu umowy.</w:t>
      </w:r>
    </w:p>
    <w:p w14:paraId="50009847" w14:textId="77777777" w:rsidR="000A36BA" w:rsidRPr="008D2A83" w:rsidRDefault="000A36BA" w:rsidP="000A36BA">
      <w:pPr>
        <w:spacing w:after="0" w:line="240" w:lineRule="auto"/>
        <w:ind w:left="426"/>
        <w:jc w:val="both"/>
        <w:rPr>
          <w:rFonts w:ascii="Arial Narrow" w:eastAsia="Times New Roman" w:hAnsi="Arial Narrow" w:cs="Times New Roman"/>
          <w:lang w:eastAsia="pl-PL"/>
        </w:rPr>
      </w:pPr>
    </w:p>
    <w:p w14:paraId="7F8064AA" w14:textId="77777777" w:rsidR="000A36BA" w:rsidRPr="00062F5C" w:rsidRDefault="000A36BA" w:rsidP="000A36BA">
      <w:pPr>
        <w:tabs>
          <w:tab w:val="num" w:pos="426"/>
        </w:tabs>
        <w:spacing w:after="0" w:line="240" w:lineRule="auto"/>
        <w:ind w:left="426"/>
        <w:jc w:val="both"/>
        <w:rPr>
          <w:rFonts w:ascii="Arial Narrow" w:eastAsia="Times New Roman" w:hAnsi="Arial Narrow" w:cs="Times New Roman"/>
          <w:lang w:eastAsia="pl-PL"/>
        </w:rPr>
      </w:pPr>
      <w:bookmarkStart w:id="0" w:name="_GoBack"/>
      <w:bookmarkEnd w:id="0"/>
    </w:p>
    <w:p w14:paraId="182F92A6" w14:textId="77777777" w:rsidR="00836A67" w:rsidRDefault="00836A67"/>
    <w:sectPr w:rsidR="00836A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916F5"/>
    <w:multiLevelType w:val="hybridMultilevel"/>
    <w:tmpl w:val="82569EFA"/>
    <w:lvl w:ilvl="0" w:tplc="FD809F4A">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A47547B"/>
    <w:multiLevelType w:val="hybridMultilevel"/>
    <w:tmpl w:val="CB90DD62"/>
    <w:lvl w:ilvl="0" w:tplc="FD809F4A">
      <w:start w:val="1"/>
      <w:numFmt w:val="lowerLetter"/>
      <w:lvlText w:val="%1)"/>
      <w:lvlJc w:val="left"/>
      <w:pPr>
        <w:tabs>
          <w:tab w:val="num" w:pos="720"/>
        </w:tabs>
        <w:ind w:left="720" w:hanging="360"/>
      </w:pPr>
      <w:rPr>
        <w:rFonts w:cs="Times New Roman" w:hint="default"/>
      </w:rPr>
    </w:lvl>
    <w:lvl w:ilvl="1" w:tplc="91D2C9FC">
      <w:start w:val="1"/>
      <w:numFmt w:val="decimal"/>
      <w:lvlText w:val="%2)"/>
      <w:lvlJc w:val="left"/>
      <w:pPr>
        <w:tabs>
          <w:tab w:val="num" w:pos="1485"/>
        </w:tabs>
        <w:ind w:left="1485" w:hanging="405"/>
      </w:pPr>
      <w:rPr>
        <w:rFonts w:cs="Times New Roman" w:hint="default"/>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0E"/>
    <w:rsid w:val="000A36BA"/>
    <w:rsid w:val="0018150E"/>
    <w:rsid w:val="00622027"/>
    <w:rsid w:val="00836A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10AB"/>
  <w15:chartTrackingRefBased/>
  <w15:docId w15:val="{D34AE67A-1261-4D2B-A662-261F903C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A36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1918</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Malicka</dc:creator>
  <cp:keywords/>
  <dc:description/>
  <cp:lastModifiedBy>Agata Malicka</cp:lastModifiedBy>
  <cp:revision>2</cp:revision>
  <dcterms:created xsi:type="dcterms:W3CDTF">2024-12-16T09:01:00Z</dcterms:created>
  <dcterms:modified xsi:type="dcterms:W3CDTF">2024-12-16T09:06:00Z</dcterms:modified>
</cp:coreProperties>
</file>