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A51EE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</w:p>
    <w:p w14:paraId="3BD5FEA3" w14:textId="77777777" w:rsidR="0017059F" w:rsidRDefault="0017059F" w:rsidP="0017059F">
      <w:pPr>
        <w:spacing w:line="276" w:lineRule="auto"/>
        <w:ind w:right="16"/>
        <w:jc w:val="both"/>
        <w:rPr>
          <w:rFonts w:ascii="Arial" w:eastAsia="Arial" w:hAnsi="Arial"/>
          <w:sz w:val="22"/>
          <w:u w:val="single"/>
        </w:rPr>
      </w:pPr>
      <w:r>
        <w:rPr>
          <w:rFonts w:ascii="Arial" w:eastAsia="Arial" w:hAnsi="Arial"/>
          <w:sz w:val="22"/>
          <w:u w:val="single"/>
        </w:rPr>
        <w:t>Wykonawca przed złożeniem zamówienia na oznakowanie poziomie, pionowe oraz urządzenia bezpieczeństwa ruchu drogowego musi uzyskać ich aprobatę przez inspektora prowadzącego temat z ramienia Zarządu Dróg Miejskich w Poznaniu.</w:t>
      </w:r>
    </w:p>
    <w:p w14:paraId="1B9691A1" w14:textId="3F227565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CA34F3" wp14:editId="52DB38E4">
                <wp:simplePos x="0" y="0"/>
                <wp:positionH relativeFrom="column">
                  <wp:posOffset>4243070</wp:posOffset>
                </wp:positionH>
                <wp:positionV relativeFrom="paragraph">
                  <wp:posOffset>-175260</wp:posOffset>
                </wp:positionV>
                <wp:extent cx="40005" cy="12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" cy="12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B4C7B" id="Prostokąt 3" o:spid="_x0000_s1026" style="position:absolute;margin-left:334.1pt;margin-top:-13.8pt;width:3.15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" fillcolor="red" strokecolor="white"/>
            </w:pict>
          </mc:Fallback>
        </mc:AlternateContent>
      </w:r>
    </w:p>
    <w:p w14:paraId="7A5D7BDE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</w:p>
    <w:p w14:paraId="6F65DE32" w14:textId="77777777" w:rsidR="0017059F" w:rsidRDefault="0017059F" w:rsidP="0017059F">
      <w:pPr>
        <w:spacing w:line="276" w:lineRule="auto"/>
        <w:ind w:left="364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I.  Wymagania dla znaków pionowych, tablic i tabliczek</w:t>
      </w:r>
    </w:p>
    <w:p w14:paraId="320A0965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  <w:sz w:val="24"/>
        </w:rPr>
      </w:pPr>
    </w:p>
    <w:p w14:paraId="01C477EA" w14:textId="4EBB9B09" w:rsidR="0017059F" w:rsidRPr="0017059F" w:rsidRDefault="0017059F" w:rsidP="0017059F">
      <w:pPr>
        <w:numPr>
          <w:ilvl w:val="0"/>
          <w:numId w:val="1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Znaki drogowe, tablice i tabliczki z folii II generacji powinny spełniać normę EN 12899-1. Oferent zobowiązany jest dołączyć do oferty deklarację zgodności oraz certyfikat wydany przez notyfikowaną jednostkę certyfikującą na każdy oferowany przez niego produkt,</w:t>
      </w:r>
    </w:p>
    <w:p w14:paraId="4B1B44CE" w14:textId="6B9C6CB7" w:rsidR="0017059F" w:rsidRPr="0017059F" w:rsidRDefault="0017059F" w:rsidP="0017059F">
      <w:pPr>
        <w:numPr>
          <w:ilvl w:val="0"/>
          <w:numId w:val="1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Znaki drogowe typu średniego, tablice, tabliczki oraz podkłady pod tablice i tabliczki winny być wykonane z blachy aluminiowej grubości 1,5 mm z wyjątkiem znaków typu G-1 oraz znaków typu małego i mini, które winny być wykonane z blachy ocynkowanej grubości 1,25 mm podwójnie zaginanych krawędziowo na całym obwodzie z folii odblaskowej II generacji, znaki ,tabliczki, tablice oraz podkłady powinny posiadać w dolnej części otwór do odprowadzania wody deszczowej,</w:t>
      </w:r>
    </w:p>
    <w:p w14:paraId="4FDD7906" w14:textId="385EB980" w:rsidR="0017059F" w:rsidRPr="0017059F" w:rsidRDefault="0017059F" w:rsidP="0017059F">
      <w:pPr>
        <w:numPr>
          <w:ilvl w:val="0"/>
          <w:numId w:val="1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Znaki, tablice, tabliczki i podkłady powinny umożliwiać ich montaż nie tylko w ich osi pionowej względem konstrukcji wsporczej, ale również z przesunięciem w lewo jak i w prawo od osi pionowej znaku winny posiadać profil montażowo- usztywniający aluminiowy lub blaszany długości 90 % szerokości tarczy znaku, tablic, tabliczek lub podkładów w miejscu ich mocowania,</w:t>
      </w:r>
    </w:p>
    <w:p w14:paraId="78BC875D" w14:textId="2F8F7B3C" w:rsidR="0017059F" w:rsidRPr="0017059F" w:rsidRDefault="0017059F" w:rsidP="0017059F">
      <w:pPr>
        <w:numPr>
          <w:ilvl w:val="0"/>
          <w:numId w:val="1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Profil aluminiowy lub profil blaszany do znaków tablic, tabliczek i podkładów do tablic oraz tabliczek winien posiadać dwie śruby typu M8x16 (możliwość przesuwania śrub) do których montuje się uchwyt uniwersalny za pomocą nakrętek M8 i podkładek,</w:t>
      </w:r>
    </w:p>
    <w:p w14:paraId="26B69E36" w14:textId="25963FE7" w:rsidR="0017059F" w:rsidRPr="0017059F" w:rsidRDefault="0017059F" w:rsidP="0017059F">
      <w:pPr>
        <w:numPr>
          <w:ilvl w:val="0"/>
          <w:numId w:val="1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Profile aluminiowe lub blaszane winny znajdować się w dwóch miejscach (góra i dół) z tyłu znaku, tabliczki lub podkładu do którego montuje się odpowiedni uchwyt uniwersalny w celu zamontowania ich na słupkach lub na latarniach taśmą typu </w:t>
      </w:r>
      <w:proofErr w:type="spellStart"/>
      <w:r>
        <w:rPr>
          <w:rFonts w:ascii="Arial" w:eastAsia="Arial" w:hAnsi="Arial"/>
          <w:sz w:val="22"/>
        </w:rPr>
        <w:t>Bandimex</w:t>
      </w:r>
      <w:proofErr w:type="spellEnd"/>
      <w:r>
        <w:rPr>
          <w:rFonts w:ascii="Arial" w:eastAsia="Arial" w:hAnsi="Arial"/>
          <w:sz w:val="22"/>
        </w:rPr>
        <w:t>,</w:t>
      </w:r>
    </w:p>
    <w:p w14:paraId="2714FA5A" w14:textId="08F8F6A8" w:rsidR="0017059F" w:rsidRPr="0017059F" w:rsidRDefault="0017059F" w:rsidP="0017059F">
      <w:pPr>
        <w:numPr>
          <w:ilvl w:val="0"/>
          <w:numId w:val="1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Uchwyty do znaków, tablic i tabliczek (np. „fala” + „ząbek”) powinny być kompatybilne z dostarczonymi znakami, wykonane z blachy ocynkowanej galwanicznie lub z blachy nierdzewnej i umożliwiać montaż na słupkach Ø60 lub przy pomocy taśmy typu </w:t>
      </w:r>
      <w:proofErr w:type="spellStart"/>
      <w:r>
        <w:rPr>
          <w:rFonts w:ascii="Arial" w:eastAsia="Arial" w:hAnsi="Arial"/>
          <w:sz w:val="22"/>
        </w:rPr>
        <w:t>Bandimex</w:t>
      </w:r>
      <w:proofErr w:type="spellEnd"/>
      <w:r>
        <w:rPr>
          <w:rFonts w:ascii="Arial" w:eastAsia="Arial" w:hAnsi="Arial"/>
          <w:sz w:val="22"/>
        </w:rPr>
        <w:t xml:space="preserve"> o szerokości 12,7 mm na różnych elementach infrastruktury drogowej,</w:t>
      </w:r>
    </w:p>
    <w:p w14:paraId="6AD50D1C" w14:textId="77777777" w:rsidR="0017059F" w:rsidRDefault="0017059F" w:rsidP="0017059F">
      <w:pPr>
        <w:numPr>
          <w:ilvl w:val="0"/>
          <w:numId w:val="1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Lico znaków, tablic i tabliczek powinno zostać wykonane metodą sitodruku.</w:t>
      </w:r>
    </w:p>
    <w:p w14:paraId="0A64D0C7" w14:textId="77777777" w:rsidR="0017059F" w:rsidRDefault="0017059F" w:rsidP="0017059F">
      <w:pPr>
        <w:tabs>
          <w:tab w:val="left" w:pos="364"/>
        </w:tabs>
        <w:spacing w:line="276" w:lineRule="auto"/>
        <w:jc w:val="both"/>
        <w:rPr>
          <w:rFonts w:ascii="Arial" w:eastAsia="Arial" w:hAnsi="Arial"/>
          <w:sz w:val="22"/>
        </w:rPr>
        <w:sectPr w:rsidR="0017059F" w:rsidSect="0017059F">
          <w:headerReference w:type="default" r:id="rId7"/>
          <w:pgSz w:w="11900" w:h="16838"/>
          <w:pgMar w:top="713" w:right="1127" w:bottom="1440" w:left="1416" w:header="0" w:footer="0" w:gutter="0"/>
          <w:cols w:space="0" w:equalWidth="0">
            <w:col w:w="9364"/>
          </w:cols>
          <w:docGrid w:linePitch="360"/>
        </w:sectPr>
      </w:pPr>
    </w:p>
    <w:p w14:paraId="58AA2175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  <w:bookmarkStart w:id="0" w:name="page2"/>
      <w:bookmarkEnd w:id="0"/>
    </w:p>
    <w:p w14:paraId="11D26411" w14:textId="77777777" w:rsidR="0017059F" w:rsidRDefault="0017059F" w:rsidP="0017059F">
      <w:pPr>
        <w:numPr>
          <w:ilvl w:val="1"/>
          <w:numId w:val="2"/>
        </w:numPr>
        <w:tabs>
          <w:tab w:val="left" w:pos="700"/>
        </w:tabs>
        <w:spacing w:line="276" w:lineRule="auto"/>
        <w:ind w:left="700" w:hanging="344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Wymagania dla oznakowania poziomego</w:t>
      </w:r>
    </w:p>
    <w:p w14:paraId="4F559C7E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b/>
          <w:sz w:val="24"/>
        </w:rPr>
      </w:pPr>
    </w:p>
    <w:p w14:paraId="22617015" w14:textId="77777777" w:rsidR="0017059F" w:rsidRPr="00FC3D55" w:rsidRDefault="0017059F" w:rsidP="0017059F">
      <w:pPr>
        <w:numPr>
          <w:ilvl w:val="0"/>
          <w:numId w:val="17"/>
        </w:numPr>
        <w:tabs>
          <w:tab w:val="left" w:pos="640"/>
        </w:tabs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Malowanie linii - Oznakowanie grubowarstwowe masą chemoutwardzalna o grubości 3mm na gładko tj. 6kg masy /m² oznakowania kolor biały i czerwony- znaki podłużne, poprzeczne i uzupełniające na nawierzchniach bitumicznych o bardzo dobrym i dobrym stanie.</w:t>
      </w:r>
    </w:p>
    <w:p w14:paraId="0F159519" w14:textId="77777777" w:rsidR="0017059F" w:rsidRPr="00FC3D55" w:rsidRDefault="0017059F" w:rsidP="0017059F">
      <w:pPr>
        <w:numPr>
          <w:ilvl w:val="0"/>
          <w:numId w:val="17"/>
        </w:numPr>
        <w:tabs>
          <w:tab w:val="left" w:pos="640"/>
        </w:tabs>
        <w:spacing w:line="276" w:lineRule="auto"/>
        <w:ind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Malowanie symboli - Oznakowanie natryskowe spray- plastik masą chemoutwardzalna o grubości 1,5 mm na gładko tj. 3kg masy /m² oznakowania kolor biały, czerwony </w:t>
      </w:r>
      <w:r>
        <w:rPr>
          <w:rFonts w:ascii="Arial" w:eastAsia="Arial" w:hAnsi="Arial"/>
          <w:sz w:val="22"/>
        </w:rPr>
        <w:br/>
        <w:t>i niebieski- znaki podłużne, poprzeczne i uzupełniające na nawierzchniach:</w:t>
      </w:r>
    </w:p>
    <w:p w14:paraId="4A058DCA" w14:textId="77777777" w:rsidR="0017059F" w:rsidRPr="0017059F" w:rsidRDefault="0017059F" w:rsidP="0017059F">
      <w:pPr>
        <w:pStyle w:val="Akapitzlist"/>
        <w:numPr>
          <w:ilvl w:val="0"/>
          <w:numId w:val="20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bitumicznych z nielicznymi spękaniami bez ubytków,</w:t>
      </w:r>
    </w:p>
    <w:p w14:paraId="521D5094" w14:textId="5770BE54" w:rsidR="0017059F" w:rsidRPr="0017059F" w:rsidRDefault="0017059F" w:rsidP="0017059F">
      <w:pPr>
        <w:pStyle w:val="Akapitzlist"/>
        <w:numPr>
          <w:ilvl w:val="0"/>
          <w:numId w:val="20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betonowych z elementów (</w:t>
      </w:r>
      <w:proofErr w:type="spellStart"/>
      <w:r w:rsidRPr="0017059F">
        <w:rPr>
          <w:rFonts w:ascii="Arial" w:eastAsia="Arial" w:hAnsi="Arial"/>
          <w:sz w:val="22"/>
        </w:rPr>
        <w:t>Pozbruk</w:t>
      </w:r>
      <w:proofErr w:type="spellEnd"/>
      <w:r w:rsidRPr="0017059F">
        <w:rPr>
          <w:rFonts w:ascii="Arial" w:eastAsia="Arial" w:hAnsi="Arial"/>
          <w:sz w:val="22"/>
        </w:rPr>
        <w:t>) i płytek chodnikowych</w:t>
      </w:r>
      <w:r>
        <w:rPr>
          <w:rFonts w:ascii="Arial" w:eastAsia="Arial" w:hAnsi="Arial"/>
          <w:sz w:val="22"/>
        </w:rPr>
        <w:t>,</w:t>
      </w:r>
    </w:p>
    <w:p w14:paraId="49A92192" w14:textId="77777777" w:rsidR="0017059F" w:rsidRPr="0017059F" w:rsidRDefault="0017059F" w:rsidP="0017059F">
      <w:pPr>
        <w:pStyle w:val="Akapitzlist"/>
        <w:numPr>
          <w:ilvl w:val="0"/>
          <w:numId w:val="20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kamiennych z kostki rzędowej i regularnej.</w:t>
      </w:r>
    </w:p>
    <w:p w14:paraId="7879B5C7" w14:textId="45450345" w:rsidR="0017059F" w:rsidRPr="0017059F" w:rsidRDefault="0017059F" w:rsidP="0017059F">
      <w:pPr>
        <w:pStyle w:val="Akapitzlist"/>
        <w:numPr>
          <w:ilvl w:val="0"/>
          <w:numId w:val="17"/>
        </w:numPr>
        <w:tabs>
          <w:tab w:val="left" w:pos="62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 xml:space="preserve">Oznakowanie cienkowarstwowe </w:t>
      </w:r>
      <w:r w:rsidRPr="0017059F">
        <w:rPr>
          <w:rFonts w:ascii="Arial" w:eastAsia="Arial" w:hAnsi="Arial"/>
          <w:b/>
          <w:bCs/>
          <w:sz w:val="22"/>
          <w:u w:val="single"/>
        </w:rPr>
        <w:t xml:space="preserve">jednokrotne </w:t>
      </w:r>
      <w:r w:rsidRPr="0017059F">
        <w:rPr>
          <w:rFonts w:ascii="Arial" w:eastAsia="Arial" w:hAnsi="Arial"/>
          <w:sz w:val="22"/>
          <w:u w:val="single"/>
        </w:rPr>
        <w:t>f</w:t>
      </w:r>
      <w:r w:rsidRPr="0017059F">
        <w:rPr>
          <w:rFonts w:ascii="Arial" w:eastAsia="Arial" w:hAnsi="Arial"/>
          <w:sz w:val="22"/>
        </w:rPr>
        <w:t xml:space="preserve">arbą drogową o grubości 0,6 mm oznakowania kolor biały, czerwony i niebieski- znaki podłużne, poprzeczne </w:t>
      </w:r>
      <w:r w:rsidRPr="0017059F">
        <w:rPr>
          <w:rFonts w:ascii="Arial" w:eastAsia="Arial" w:hAnsi="Arial"/>
          <w:sz w:val="22"/>
        </w:rPr>
        <w:br/>
        <w:t>i uzupełniające na nawierzchniach:</w:t>
      </w:r>
    </w:p>
    <w:p w14:paraId="703F8807" w14:textId="77777777" w:rsidR="0017059F" w:rsidRPr="0017059F" w:rsidRDefault="0017059F" w:rsidP="0017059F">
      <w:pPr>
        <w:pStyle w:val="Akapitzlist"/>
        <w:numPr>
          <w:ilvl w:val="0"/>
          <w:numId w:val="19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bitumicznych z nielicznymi spękaniami bez ubytków,</w:t>
      </w:r>
    </w:p>
    <w:p w14:paraId="505274BF" w14:textId="1B428B7D" w:rsidR="0017059F" w:rsidRPr="0017059F" w:rsidRDefault="0017059F" w:rsidP="0017059F">
      <w:pPr>
        <w:pStyle w:val="Akapitzlist"/>
        <w:numPr>
          <w:ilvl w:val="0"/>
          <w:numId w:val="19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betonowych z elementów (</w:t>
      </w:r>
      <w:proofErr w:type="spellStart"/>
      <w:r w:rsidRPr="0017059F">
        <w:rPr>
          <w:rFonts w:ascii="Arial" w:eastAsia="Arial" w:hAnsi="Arial"/>
          <w:sz w:val="22"/>
        </w:rPr>
        <w:t>Pozbruk</w:t>
      </w:r>
      <w:proofErr w:type="spellEnd"/>
      <w:r w:rsidRPr="0017059F">
        <w:rPr>
          <w:rFonts w:ascii="Arial" w:eastAsia="Arial" w:hAnsi="Arial"/>
          <w:sz w:val="22"/>
        </w:rPr>
        <w:t>) i płytek chodnikowych</w:t>
      </w:r>
      <w:r>
        <w:rPr>
          <w:rFonts w:ascii="Arial" w:eastAsia="Arial" w:hAnsi="Arial"/>
          <w:sz w:val="22"/>
        </w:rPr>
        <w:t>,</w:t>
      </w:r>
    </w:p>
    <w:p w14:paraId="06559523" w14:textId="77777777" w:rsidR="0017059F" w:rsidRPr="0017059F" w:rsidRDefault="0017059F" w:rsidP="0017059F">
      <w:pPr>
        <w:pStyle w:val="Akapitzlist"/>
        <w:numPr>
          <w:ilvl w:val="0"/>
          <w:numId w:val="19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kamiennych z kostki rzędowej i regularnej.</w:t>
      </w:r>
    </w:p>
    <w:p w14:paraId="1C4719B6" w14:textId="1E7A9230" w:rsidR="0017059F" w:rsidRPr="0017059F" w:rsidRDefault="0017059F" w:rsidP="0017059F">
      <w:pPr>
        <w:pStyle w:val="Akapitzlist"/>
        <w:numPr>
          <w:ilvl w:val="0"/>
          <w:numId w:val="17"/>
        </w:numPr>
        <w:tabs>
          <w:tab w:val="left" w:pos="62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 xml:space="preserve">Oznakowanie cienkowarstwowe </w:t>
      </w:r>
      <w:r w:rsidRPr="0017059F">
        <w:rPr>
          <w:rFonts w:ascii="Arial" w:eastAsia="Arial" w:hAnsi="Arial"/>
          <w:b/>
          <w:bCs/>
          <w:sz w:val="22"/>
          <w:u w:val="single"/>
        </w:rPr>
        <w:t>dwukrotne</w:t>
      </w:r>
      <w:r w:rsidRPr="0017059F">
        <w:rPr>
          <w:rFonts w:ascii="Arial" w:eastAsia="Arial" w:hAnsi="Arial"/>
          <w:sz w:val="22"/>
        </w:rPr>
        <w:t xml:space="preserve"> farbą drogową o grubości 0,6 mm oznakowania kolor biały, czerwony i niebieski- znaki podłużne, poprzeczne </w:t>
      </w:r>
      <w:r w:rsidRPr="0017059F">
        <w:rPr>
          <w:rFonts w:ascii="Arial" w:eastAsia="Arial" w:hAnsi="Arial"/>
          <w:sz w:val="22"/>
        </w:rPr>
        <w:br/>
        <w:t>i uzupełniające na nawierzchniach:</w:t>
      </w:r>
    </w:p>
    <w:p w14:paraId="6EB22538" w14:textId="77777777" w:rsidR="0017059F" w:rsidRPr="0017059F" w:rsidRDefault="0017059F" w:rsidP="0017059F">
      <w:pPr>
        <w:pStyle w:val="Akapitzlist"/>
        <w:numPr>
          <w:ilvl w:val="0"/>
          <w:numId w:val="18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bitumicznych z nielicznymi spękaniami bez ubytków,</w:t>
      </w:r>
    </w:p>
    <w:p w14:paraId="434AC7D6" w14:textId="62EDEE42" w:rsidR="0017059F" w:rsidRPr="0017059F" w:rsidRDefault="0017059F" w:rsidP="0017059F">
      <w:pPr>
        <w:pStyle w:val="Akapitzlist"/>
        <w:numPr>
          <w:ilvl w:val="0"/>
          <w:numId w:val="18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betonowych z elementów (</w:t>
      </w:r>
      <w:proofErr w:type="spellStart"/>
      <w:r w:rsidRPr="0017059F">
        <w:rPr>
          <w:rFonts w:ascii="Arial" w:eastAsia="Arial" w:hAnsi="Arial"/>
          <w:sz w:val="22"/>
        </w:rPr>
        <w:t>Pozbruk</w:t>
      </w:r>
      <w:proofErr w:type="spellEnd"/>
      <w:r w:rsidRPr="0017059F">
        <w:rPr>
          <w:rFonts w:ascii="Arial" w:eastAsia="Arial" w:hAnsi="Arial"/>
          <w:sz w:val="22"/>
        </w:rPr>
        <w:t>) i płytek chodnikowych</w:t>
      </w:r>
      <w:r>
        <w:rPr>
          <w:rFonts w:ascii="Arial" w:eastAsia="Arial" w:hAnsi="Arial"/>
          <w:sz w:val="22"/>
        </w:rPr>
        <w:t>,</w:t>
      </w:r>
    </w:p>
    <w:p w14:paraId="26E12533" w14:textId="77777777" w:rsidR="0017059F" w:rsidRPr="0017059F" w:rsidRDefault="0017059F" w:rsidP="0017059F">
      <w:pPr>
        <w:pStyle w:val="Akapitzlist"/>
        <w:numPr>
          <w:ilvl w:val="0"/>
          <w:numId w:val="18"/>
        </w:numPr>
        <w:tabs>
          <w:tab w:val="left" w:pos="78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kamiennych z kostki rzędowej i regularnej.</w:t>
      </w:r>
    </w:p>
    <w:p w14:paraId="265CE1CE" w14:textId="33B4623C" w:rsidR="0017059F" w:rsidRPr="0017059F" w:rsidRDefault="0017059F" w:rsidP="0017059F">
      <w:pPr>
        <w:pStyle w:val="Akapitzlist"/>
        <w:numPr>
          <w:ilvl w:val="0"/>
          <w:numId w:val="17"/>
        </w:numPr>
        <w:tabs>
          <w:tab w:val="left" w:pos="64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 xml:space="preserve">Usuwanie zbędnego oznakowania poziomego (1,2,3 i 4) wodą pod ciśnieniem metoda </w:t>
      </w:r>
      <w:proofErr w:type="spellStart"/>
      <w:r w:rsidRPr="0017059F">
        <w:rPr>
          <w:rFonts w:ascii="Arial" w:eastAsia="Arial" w:hAnsi="Arial"/>
          <w:sz w:val="22"/>
        </w:rPr>
        <w:t>water-jet</w:t>
      </w:r>
      <w:proofErr w:type="spellEnd"/>
      <w:r w:rsidRPr="0017059F">
        <w:rPr>
          <w:rFonts w:ascii="Arial" w:eastAsia="Arial" w:hAnsi="Arial"/>
          <w:sz w:val="22"/>
        </w:rPr>
        <w:t>.</w:t>
      </w:r>
    </w:p>
    <w:p w14:paraId="06DE0579" w14:textId="3EAE5C39" w:rsidR="0017059F" w:rsidRPr="0017059F" w:rsidRDefault="0017059F" w:rsidP="0017059F">
      <w:pPr>
        <w:pStyle w:val="Akapitzlist"/>
        <w:numPr>
          <w:ilvl w:val="0"/>
          <w:numId w:val="17"/>
        </w:numPr>
        <w:tabs>
          <w:tab w:val="left" w:pos="640"/>
        </w:tabs>
        <w:spacing w:line="276" w:lineRule="auto"/>
        <w:jc w:val="both"/>
        <w:rPr>
          <w:rFonts w:ascii="Arial" w:eastAsia="Arial" w:hAnsi="Arial"/>
          <w:sz w:val="22"/>
        </w:rPr>
      </w:pPr>
      <w:r w:rsidRPr="0017059F">
        <w:rPr>
          <w:rFonts w:ascii="Arial" w:eastAsia="Arial" w:hAnsi="Arial"/>
          <w:sz w:val="22"/>
        </w:rPr>
        <w:t>Zamknięcie powierzchniowe nawierzchni bitumicznej czarną masą chemoutwardzalną w</w:t>
      </w:r>
      <w:r>
        <w:rPr>
          <w:rFonts w:ascii="Arial" w:eastAsia="Arial" w:hAnsi="Arial"/>
          <w:sz w:val="22"/>
        </w:rPr>
        <w:t xml:space="preserve"> </w:t>
      </w:r>
      <w:r w:rsidRPr="0017059F">
        <w:rPr>
          <w:rFonts w:ascii="Arial" w:eastAsia="Arial" w:hAnsi="Arial"/>
          <w:sz w:val="22"/>
        </w:rPr>
        <w:t>ilości 2kg</w:t>
      </w:r>
      <w:r>
        <w:rPr>
          <w:rFonts w:ascii="Arial" w:eastAsia="Arial" w:hAnsi="Arial"/>
          <w:sz w:val="22"/>
        </w:rPr>
        <w:t xml:space="preserve"> </w:t>
      </w:r>
      <w:r w:rsidRPr="0017059F">
        <w:rPr>
          <w:rFonts w:ascii="Arial" w:eastAsia="Arial" w:hAnsi="Arial"/>
          <w:sz w:val="22"/>
        </w:rPr>
        <w:t>masy/m² nawierzchni bitumicznej</w:t>
      </w:r>
      <w:r w:rsidRPr="0017059F">
        <w:rPr>
          <w:rFonts w:ascii="Arial" w:eastAsia="Arial" w:hAnsi="Arial"/>
          <w:sz w:val="22"/>
        </w:rPr>
        <w:t>.</w:t>
      </w:r>
    </w:p>
    <w:p w14:paraId="0E84A3BD" w14:textId="4214CC6D" w:rsidR="0017059F" w:rsidRPr="00FC3D55" w:rsidRDefault="0017059F" w:rsidP="0017059F">
      <w:pPr>
        <w:numPr>
          <w:ilvl w:val="0"/>
          <w:numId w:val="17"/>
        </w:numPr>
        <w:tabs>
          <w:tab w:val="left" w:pos="700"/>
        </w:tabs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Wypełnienie  fug,  zamulenie  po  usuwaniu  zbędnego  oznakowania  na  nawierzchni z </w:t>
      </w:r>
      <w:r w:rsidRPr="00FC3D55">
        <w:rPr>
          <w:rFonts w:ascii="Arial" w:eastAsia="Arial" w:hAnsi="Arial"/>
          <w:sz w:val="22"/>
        </w:rPr>
        <w:t>elementów betonowych lub kamiennych</w:t>
      </w:r>
      <w:r>
        <w:rPr>
          <w:rFonts w:ascii="Arial" w:eastAsia="Arial" w:hAnsi="Arial"/>
          <w:sz w:val="22"/>
        </w:rPr>
        <w:t>.</w:t>
      </w:r>
    </w:p>
    <w:p w14:paraId="118A46A8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</w:p>
    <w:p w14:paraId="00C548F7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Oznakowanie poziome musi spełniać wymagania odblaskowości, szorstkości, widzialności </w:t>
      </w:r>
      <w:r>
        <w:rPr>
          <w:rFonts w:ascii="Arial" w:eastAsia="Arial" w:hAnsi="Arial"/>
          <w:sz w:val="22"/>
        </w:rPr>
        <w:br/>
        <w:t xml:space="preserve">w dzień i w nocy określone przez </w:t>
      </w:r>
      <w:proofErr w:type="spellStart"/>
      <w:r>
        <w:rPr>
          <w:rFonts w:ascii="Arial" w:eastAsia="Arial" w:hAnsi="Arial"/>
          <w:sz w:val="22"/>
        </w:rPr>
        <w:t>IBDiM</w:t>
      </w:r>
      <w:proofErr w:type="spellEnd"/>
      <w:r>
        <w:rPr>
          <w:rFonts w:ascii="Arial" w:eastAsia="Arial" w:hAnsi="Arial"/>
          <w:sz w:val="22"/>
        </w:rPr>
        <w:t xml:space="preserve"> w Warszawie (zeszyt 55)</w:t>
      </w:r>
    </w:p>
    <w:p w14:paraId="2B8CEC78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58588F09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Ze względu na małą trwałość nie dopuszcza się stosowania oznakowania poziomego wykonanego masą termoutwardzalną za wyjątkiem piktogramów znaków pionowych i napisów montowanych na jezdni</w:t>
      </w:r>
    </w:p>
    <w:p w14:paraId="587430A3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7C7AAFA2" w14:textId="77777777" w:rsidR="0017059F" w:rsidRPr="00FC3D55" w:rsidRDefault="0017059F" w:rsidP="0017059F">
      <w:pPr>
        <w:spacing w:line="276" w:lineRule="auto"/>
        <w:jc w:val="both"/>
        <w:rPr>
          <w:rFonts w:ascii="Arial" w:eastAsia="Arial" w:hAnsi="Arial"/>
          <w:i/>
          <w:iCs/>
          <w:sz w:val="22"/>
        </w:rPr>
      </w:pPr>
      <w:r w:rsidRPr="00FC3D55">
        <w:rPr>
          <w:rFonts w:ascii="Arial" w:eastAsia="Arial" w:hAnsi="Arial"/>
          <w:i/>
          <w:iCs/>
          <w:sz w:val="22"/>
        </w:rPr>
        <w:t>Tabela 1.3. Grubość warstwy i okres trwałości materiałów do oznakowania poziomego</w:t>
      </w: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360"/>
        <w:gridCol w:w="1120"/>
        <w:gridCol w:w="40"/>
        <w:gridCol w:w="2620"/>
        <w:gridCol w:w="60"/>
      </w:tblGrid>
      <w:tr w:rsidR="0017059F" w14:paraId="74D4E712" w14:textId="77777777" w:rsidTr="00A51841">
        <w:trPr>
          <w:trHeight w:val="40"/>
        </w:trPr>
        <w:tc>
          <w:tcPr>
            <w:tcW w:w="45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9B0D291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F8AA9C4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59F9AAB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6FD837D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6AA256E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6AD0B1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17059F" w14:paraId="6441C097" w14:textId="77777777" w:rsidTr="00A51841">
        <w:trPr>
          <w:trHeight w:val="252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B19666" w14:textId="77777777" w:rsidR="0017059F" w:rsidRDefault="0017059F" w:rsidP="00A51841">
            <w:pPr>
              <w:spacing w:line="276" w:lineRule="auto"/>
              <w:ind w:left="6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Rodzaj materiału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E3A073" w14:textId="77777777" w:rsidR="0017059F" w:rsidRDefault="0017059F" w:rsidP="00A51841">
            <w:pPr>
              <w:spacing w:line="276" w:lineRule="auto"/>
              <w:ind w:left="2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Grubość mm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8F03A5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8B7654" w14:textId="77777777" w:rsidR="0017059F" w:rsidRDefault="0017059F" w:rsidP="00A51841">
            <w:pPr>
              <w:spacing w:line="276" w:lineRule="auto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Okres trwałości rok/lata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4766DC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7059F" w14:paraId="1EA9F1E8" w14:textId="77777777" w:rsidTr="00A51841">
        <w:trPr>
          <w:trHeight w:val="27"/>
        </w:trPr>
        <w:tc>
          <w:tcPr>
            <w:tcW w:w="4500" w:type="dxa"/>
            <w:shd w:val="clear" w:color="auto" w:fill="auto"/>
            <w:vAlign w:val="bottom"/>
          </w:tcPr>
          <w:p w14:paraId="49864350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3ED12177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77FD9E0E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60" w:type="dxa"/>
            <w:gridSpan w:val="2"/>
            <w:shd w:val="clear" w:color="auto" w:fill="auto"/>
            <w:vAlign w:val="bottom"/>
          </w:tcPr>
          <w:p w14:paraId="57A57865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089788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17059F" w14:paraId="35D1E984" w14:textId="77777777" w:rsidTr="00A51841">
        <w:trPr>
          <w:trHeight w:val="270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B21F48" w14:textId="77777777" w:rsidR="0017059F" w:rsidRDefault="0017059F" w:rsidP="00A51841">
            <w:pPr>
              <w:spacing w:line="276" w:lineRule="auto"/>
              <w:ind w:left="6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Farba rozpuszczalnikowa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467015E" w14:textId="77777777" w:rsidR="0017059F" w:rsidRDefault="0017059F" w:rsidP="00A51841">
            <w:pPr>
              <w:spacing w:line="276" w:lineRule="auto"/>
              <w:ind w:left="2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0,3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AC68DC" w14:textId="77777777" w:rsidR="0017059F" w:rsidRDefault="0017059F" w:rsidP="00A51841">
            <w:pPr>
              <w:spacing w:line="276" w:lineRule="auto"/>
              <w:ind w:left="20"/>
              <w:jc w:val="both"/>
              <w:rPr>
                <w:rFonts w:ascii="Arial" w:eastAsia="Arial" w:hAnsi="Arial"/>
                <w:sz w:val="27"/>
                <w:vertAlign w:val="superscript"/>
              </w:rPr>
            </w:pPr>
            <w:r>
              <w:rPr>
                <w:rFonts w:ascii="Arial" w:eastAsia="Arial" w:hAnsi="Arial"/>
                <w:sz w:val="22"/>
              </w:rPr>
              <w:t>- 0,8</w:t>
            </w:r>
            <w:r>
              <w:rPr>
                <w:rFonts w:ascii="Arial" w:eastAsia="Arial" w:hAnsi="Arial"/>
                <w:sz w:val="27"/>
              </w:rPr>
              <w:t xml:space="preserve"> </w:t>
            </w:r>
            <w:r>
              <w:rPr>
                <w:rFonts w:ascii="Arial" w:eastAsia="Arial" w:hAnsi="Arial"/>
                <w:sz w:val="27"/>
                <w:vertAlign w:val="superscript"/>
              </w:rPr>
              <w:t>*)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3FA77A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08A7D9" w14:textId="77777777" w:rsidR="0017059F" w:rsidRDefault="0017059F" w:rsidP="00A51841">
            <w:pPr>
              <w:spacing w:line="276" w:lineRule="auto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1-2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1BEFF8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7059F" w14:paraId="3EEBECDD" w14:textId="77777777" w:rsidTr="00A51841">
        <w:trPr>
          <w:trHeight w:val="23"/>
        </w:trPr>
        <w:tc>
          <w:tcPr>
            <w:tcW w:w="4500" w:type="dxa"/>
            <w:shd w:val="clear" w:color="auto" w:fill="auto"/>
            <w:vAlign w:val="bottom"/>
          </w:tcPr>
          <w:p w14:paraId="50F84E0F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60D77EDF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462B20A8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60" w:type="dxa"/>
            <w:gridSpan w:val="2"/>
            <w:shd w:val="clear" w:color="auto" w:fill="auto"/>
            <w:vAlign w:val="bottom"/>
          </w:tcPr>
          <w:p w14:paraId="7F90993B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536238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17059F" w14:paraId="6053009C" w14:textId="77777777" w:rsidTr="00A51841">
        <w:trPr>
          <w:trHeight w:val="264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EAB10C" w14:textId="77777777" w:rsidR="0017059F" w:rsidRDefault="0017059F" w:rsidP="00A51841">
            <w:pPr>
              <w:spacing w:line="276" w:lineRule="auto"/>
              <w:ind w:left="6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Masa chemoutwardzalna do nakładania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5972699" w14:textId="77777777" w:rsidR="0017059F" w:rsidRDefault="0017059F" w:rsidP="00A51841">
            <w:pPr>
              <w:spacing w:line="276" w:lineRule="auto"/>
              <w:ind w:left="2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1,8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B0A48F" w14:textId="77777777" w:rsidR="0017059F" w:rsidRDefault="0017059F" w:rsidP="00A51841">
            <w:pPr>
              <w:spacing w:line="276" w:lineRule="auto"/>
              <w:ind w:left="2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- 3,0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A5C7DC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F10875" w14:textId="77777777" w:rsidR="0017059F" w:rsidRDefault="0017059F" w:rsidP="00A51841">
            <w:pPr>
              <w:spacing w:line="276" w:lineRule="auto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DE398F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7059F" w14:paraId="53661FD9" w14:textId="77777777" w:rsidTr="00A51841">
        <w:trPr>
          <w:trHeight w:val="27"/>
        </w:trPr>
        <w:tc>
          <w:tcPr>
            <w:tcW w:w="4500" w:type="dxa"/>
            <w:shd w:val="clear" w:color="auto" w:fill="auto"/>
            <w:vAlign w:val="bottom"/>
          </w:tcPr>
          <w:p w14:paraId="6B4B3C75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14:paraId="405B41E6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07FBF5E4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60" w:type="dxa"/>
            <w:gridSpan w:val="2"/>
            <w:shd w:val="clear" w:color="auto" w:fill="auto"/>
            <w:vAlign w:val="bottom"/>
          </w:tcPr>
          <w:p w14:paraId="6814DD6E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7FA83F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17059F" w14:paraId="554B95BF" w14:textId="77777777" w:rsidTr="00A51841">
        <w:trPr>
          <w:trHeight w:val="268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E0B30F" w14:textId="77777777" w:rsidR="0017059F" w:rsidRDefault="0017059F" w:rsidP="00A51841">
            <w:pPr>
              <w:spacing w:line="276" w:lineRule="auto"/>
              <w:ind w:left="6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Masa termoplastyczna do natrysku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A41F727" w14:textId="77777777" w:rsidR="0017059F" w:rsidRDefault="0017059F" w:rsidP="00A51841">
            <w:pPr>
              <w:spacing w:line="276" w:lineRule="auto"/>
              <w:ind w:left="2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1,0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B36F8F" w14:textId="77777777" w:rsidR="0017059F" w:rsidRDefault="0017059F" w:rsidP="00A51841">
            <w:pPr>
              <w:spacing w:line="276" w:lineRule="auto"/>
              <w:ind w:left="20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- 1,5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CB7300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07ADBB" w14:textId="77777777" w:rsidR="0017059F" w:rsidRDefault="0017059F" w:rsidP="00A51841">
            <w:pPr>
              <w:spacing w:line="276" w:lineRule="auto"/>
              <w:jc w:val="both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A0939C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7059F" w14:paraId="63DECD3A" w14:textId="77777777" w:rsidTr="00A51841">
        <w:trPr>
          <w:trHeight w:val="25"/>
        </w:trPr>
        <w:tc>
          <w:tcPr>
            <w:tcW w:w="4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BCA491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0222E6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018B53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4ACAB7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4FA6FA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C565CA" w14:textId="77777777" w:rsidR="0017059F" w:rsidRDefault="0017059F" w:rsidP="00A51841">
            <w:pPr>
              <w:spacing w:line="276" w:lineRule="auto"/>
              <w:jc w:val="both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14:paraId="7F790B4B" w14:textId="09E6BE1D" w:rsidR="0017059F" w:rsidRPr="0017059F" w:rsidRDefault="0017059F" w:rsidP="0017059F">
      <w:pPr>
        <w:spacing w:line="276" w:lineRule="auto"/>
        <w:jc w:val="both"/>
        <w:rPr>
          <w:rFonts w:ascii="Arial" w:eastAsia="Arial" w:hAnsi="Arial"/>
          <w:sz w:val="16"/>
          <w:szCs w:val="16"/>
        </w:rPr>
        <w:sectPr w:rsidR="0017059F" w:rsidRPr="0017059F" w:rsidSect="0017059F">
          <w:pgSz w:w="11900" w:h="16838"/>
          <w:pgMar w:top="713" w:right="1127" w:bottom="1440" w:left="1420" w:header="0" w:footer="0" w:gutter="0"/>
          <w:cols w:space="0" w:equalWidth="0">
            <w:col w:w="9360"/>
          </w:cols>
          <w:docGrid w:linePitch="360"/>
        </w:sectPr>
      </w:pPr>
      <w:r w:rsidRPr="0017059F">
        <w:rPr>
          <w:rFonts w:ascii="Arial" w:eastAsia="Arial" w:hAnsi="Arial"/>
          <w:sz w:val="16"/>
          <w:szCs w:val="16"/>
          <w:vertAlign w:val="superscript"/>
        </w:rPr>
        <w:t xml:space="preserve">*) </w:t>
      </w:r>
      <w:r w:rsidRPr="0017059F">
        <w:rPr>
          <w:rFonts w:ascii="Arial" w:eastAsia="Arial" w:hAnsi="Arial"/>
          <w:sz w:val="16"/>
          <w:szCs w:val="16"/>
        </w:rPr>
        <w:t>Grubość warstwy mierzona na mokro, po wyschnięciu zmniejsza się o 40-50 %</w:t>
      </w:r>
    </w:p>
    <w:p w14:paraId="61B34909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  <w:bookmarkStart w:id="1" w:name="page3"/>
      <w:bookmarkEnd w:id="1"/>
    </w:p>
    <w:p w14:paraId="3605C3CC" w14:textId="77777777" w:rsidR="0017059F" w:rsidRDefault="0017059F" w:rsidP="0017059F">
      <w:pPr>
        <w:numPr>
          <w:ilvl w:val="0"/>
          <w:numId w:val="6"/>
        </w:numPr>
        <w:tabs>
          <w:tab w:val="left" w:pos="704"/>
        </w:tabs>
        <w:spacing w:line="276" w:lineRule="auto"/>
        <w:ind w:left="704" w:hanging="344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Wymagania dla urządzeń bezpieczeństwa ruchu drogowego.</w:t>
      </w:r>
    </w:p>
    <w:p w14:paraId="150B4DCE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43961F1F" w14:textId="287D368D" w:rsidR="0017059F" w:rsidRP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  <w:u w:val="single"/>
        </w:rPr>
      </w:pPr>
      <w:r>
        <w:rPr>
          <w:rFonts w:ascii="Arial" w:eastAsia="Arial" w:hAnsi="Arial"/>
          <w:sz w:val="22"/>
          <w:u w:val="single"/>
        </w:rPr>
        <w:t>Wymagania dla słupków oporowych i łańcuchowych oraz stojaków rowerowych</w:t>
      </w:r>
    </w:p>
    <w:p w14:paraId="7134BC67" w14:textId="77777777" w:rsidR="0017059F" w:rsidRDefault="0017059F" w:rsidP="0017059F">
      <w:pPr>
        <w:numPr>
          <w:ilvl w:val="0"/>
          <w:numId w:val="7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Słupki do znaków winny być z rur stalowych ocynkowanych o średnicy zewnętrznej 60,3 mm</w:t>
      </w:r>
      <w:r>
        <w:rPr>
          <w:rFonts w:ascii="Arial" w:eastAsia="Arial" w:hAnsi="Arial"/>
          <w:sz w:val="22"/>
        </w:rPr>
        <w:br/>
        <w:t>o grubości ścianki niemniejszej niż 3 mm, zaopatrzone w dolnej części na wys. ok. 20 cm od dołu słupka w dwie kotwy z płaskownika 200x60x6 mm przyspawane poziomo pod kątem 90º (spaw pionowy i poziomy z obu stron płaskownika do słupka na całej długości łączenia)w/g załączonego wzoru. Słupki od góry muszą być zamknięte , w taki sposób aby woda nie przedostawała się do wnętrza słupka. Spawy i kotwy winny być zabezpieczone antykorozyjnie.</w:t>
      </w:r>
    </w:p>
    <w:p w14:paraId="0F2CBAF3" w14:textId="2B1F0977" w:rsidR="0017059F" w:rsidRDefault="0017059F" w:rsidP="009278FE">
      <w:pPr>
        <w:numPr>
          <w:ilvl w:val="0"/>
          <w:numId w:val="7"/>
        </w:numPr>
        <w:tabs>
          <w:tab w:val="left" w:pos="0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Słupki do luster winny być z rur stalowych ocynkowanych o średnicy zewnętrznej 88,8 mm o grubości ścianki niemniejszej niż 4 mm, zaopatrzone w dolnej części na wys. ok. 20 cm od dołu słupka w dwie kotwy z płaskownika 200x60x6 mm przyspawane poziomo pod kątem 90º (spaw pionowy i poziomy z obu stron płaskownika do słupka na całej długości łączenia)w/g załączonego wzoru. Słupki od góry muszą być zamknięte , w taki sposób aby woda nie przedostawała się do wnętrza słupka. Spawy i kotwy winny być zabezpieczone antykorozyjnie.</w:t>
      </w:r>
    </w:p>
    <w:p w14:paraId="30B8E5F5" w14:textId="77777777" w:rsidR="009278FE" w:rsidRDefault="0017059F" w:rsidP="009278FE">
      <w:pPr>
        <w:numPr>
          <w:ilvl w:val="0"/>
          <w:numId w:val="7"/>
        </w:numPr>
        <w:tabs>
          <w:tab w:val="left" w:pos="0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 w:rsidRPr="009278FE">
        <w:rPr>
          <w:rFonts w:ascii="Arial" w:eastAsia="Arial" w:hAnsi="Arial"/>
          <w:sz w:val="22"/>
        </w:rPr>
        <w:t xml:space="preserve">Słupki oporowe wraz z elementami do montażu. ZAP-01, ZAP-02, ZAP-03, ZAP-04 </w:t>
      </w:r>
      <w:r w:rsidRPr="009278FE">
        <w:rPr>
          <w:rFonts w:ascii="Arial" w:eastAsia="Arial" w:hAnsi="Arial"/>
          <w:sz w:val="22"/>
        </w:rPr>
        <w:br/>
        <w:t xml:space="preserve">o grubości ścianki niemniejszej niż 3 mm. </w:t>
      </w:r>
    </w:p>
    <w:p w14:paraId="3162ED00" w14:textId="77777777" w:rsidR="009278FE" w:rsidRDefault="0017059F" w:rsidP="009278FE">
      <w:pPr>
        <w:numPr>
          <w:ilvl w:val="0"/>
          <w:numId w:val="7"/>
        </w:numPr>
        <w:tabs>
          <w:tab w:val="left" w:pos="0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 w:rsidRPr="009278FE">
        <w:rPr>
          <w:rFonts w:ascii="Arial" w:eastAsia="Arial" w:hAnsi="Arial"/>
          <w:sz w:val="22"/>
        </w:rPr>
        <w:t>Łańcuch ozdobny winien być wykonany w odcinkach 0,5 do 2,0 m z możliwością rozginania ogniw w celu mocowania do słupków lub względem siebie (przedłużanie lub skracanie łańcucha). Dodatkowo muszą być wykonane pojedyncze ogniwa do łączenia łańcucha.</w:t>
      </w:r>
    </w:p>
    <w:p w14:paraId="6B8C1FA9" w14:textId="739EE277" w:rsidR="0017059F" w:rsidRPr="009278FE" w:rsidRDefault="0017059F" w:rsidP="009278FE">
      <w:pPr>
        <w:numPr>
          <w:ilvl w:val="0"/>
          <w:numId w:val="7"/>
        </w:numPr>
        <w:tabs>
          <w:tab w:val="left" w:pos="0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 w:rsidRPr="009278FE">
        <w:rPr>
          <w:rFonts w:ascii="Arial" w:eastAsia="Arial" w:hAnsi="Arial"/>
          <w:sz w:val="22"/>
        </w:rPr>
        <w:t xml:space="preserve">Fundamenty betonowe o wys. 36 cm i przekroju kwadratu 20x20 cm winny posiadać </w:t>
      </w:r>
      <w:r w:rsidRPr="009278FE">
        <w:rPr>
          <w:rFonts w:ascii="Arial" w:eastAsia="Arial" w:hAnsi="Arial"/>
          <w:sz w:val="22"/>
        </w:rPr>
        <w:br/>
        <w:t>w czterech miejscach nagwintowany pręt (długość gwintu nad fundamentem – 35 mm) do przykręcenia słupków nakrętką kołpakową M-12.,</w:t>
      </w:r>
    </w:p>
    <w:p w14:paraId="79A782AA" w14:textId="77777777" w:rsidR="0017059F" w:rsidRDefault="0017059F" w:rsidP="0017059F">
      <w:pPr>
        <w:numPr>
          <w:ilvl w:val="0"/>
          <w:numId w:val="7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Barierki – zgodne z katalogiem mebli miejskich ZAP-05, ZAP-06, ZAP-07 o grubości ścianki niemniejszej niż 3 mm.</w:t>
      </w:r>
    </w:p>
    <w:p w14:paraId="2A4C9FBB" w14:textId="77777777" w:rsidR="0017059F" w:rsidRDefault="0017059F" w:rsidP="0017059F">
      <w:pPr>
        <w:numPr>
          <w:ilvl w:val="0"/>
          <w:numId w:val="7"/>
        </w:numPr>
        <w:tabs>
          <w:tab w:val="left" w:pos="364"/>
        </w:tabs>
        <w:spacing w:line="276" w:lineRule="auto"/>
        <w:ind w:left="364" w:hanging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Stojaki rowerowe zgodne z katalogiem mebli miejskich (STO-01, STO-02) - Stojaki STO-02</w:t>
      </w:r>
    </w:p>
    <w:p w14:paraId="58989908" w14:textId="77777777" w:rsidR="0017059F" w:rsidRDefault="0017059F" w:rsidP="0017059F">
      <w:pPr>
        <w:spacing w:line="276" w:lineRule="auto"/>
        <w:ind w:left="36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średnica rury 4,8 cm, grubości ścianki niemniejszej niż 3 mm. Kolor wg wytycznych zamawiającego.</w:t>
      </w:r>
    </w:p>
    <w:p w14:paraId="65D0C28C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4C845E3F" w14:textId="66A27877" w:rsidR="0017059F" w:rsidRP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b/>
          <w:bCs/>
          <w:sz w:val="22"/>
          <w:u w:val="single"/>
        </w:rPr>
      </w:pPr>
      <w:bookmarkStart w:id="2" w:name="_Hlk128402212"/>
      <w:r w:rsidRPr="00FC3D55">
        <w:rPr>
          <w:rFonts w:ascii="Arial" w:eastAsia="Arial" w:hAnsi="Arial"/>
          <w:b/>
          <w:bCs/>
          <w:sz w:val="22"/>
          <w:u w:val="single"/>
        </w:rPr>
        <w:t>Wymagania dla luster drogowych</w:t>
      </w:r>
    </w:p>
    <w:p w14:paraId="0D207E5E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Opis lustra drogowego prostokątnego:</w:t>
      </w:r>
    </w:p>
    <w:p w14:paraId="329C89B5" w14:textId="77777777" w:rsidR="0017059F" w:rsidRDefault="0017059F" w:rsidP="0017059F">
      <w:pPr>
        <w:numPr>
          <w:ilvl w:val="0"/>
          <w:numId w:val="8"/>
        </w:numPr>
        <w:tabs>
          <w:tab w:val="left" w:pos="144"/>
        </w:tabs>
        <w:spacing w:line="276" w:lineRule="auto"/>
        <w:ind w:left="144" w:hanging="14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wymiary  1000 x 800</w:t>
      </w:r>
    </w:p>
    <w:p w14:paraId="3A5BA904" w14:textId="77777777" w:rsidR="0017059F" w:rsidRDefault="0017059F" w:rsidP="0017059F">
      <w:pPr>
        <w:numPr>
          <w:ilvl w:val="0"/>
          <w:numId w:val="8"/>
        </w:numPr>
        <w:tabs>
          <w:tab w:val="left" w:pos="144"/>
        </w:tabs>
        <w:spacing w:line="276" w:lineRule="auto"/>
        <w:ind w:left="144" w:hanging="14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materiał - tworzywo PCV</w:t>
      </w:r>
    </w:p>
    <w:p w14:paraId="696FC422" w14:textId="77777777" w:rsidR="0017059F" w:rsidRDefault="0017059F" w:rsidP="0017059F">
      <w:pPr>
        <w:numPr>
          <w:ilvl w:val="0"/>
          <w:numId w:val="8"/>
        </w:numPr>
        <w:tabs>
          <w:tab w:val="left" w:pos="144"/>
        </w:tabs>
        <w:spacing w:line="276" w:lineRule="auto"/>
        <w:ind w:left="144" w:hanging="14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mocowanie lustra do słupka metalowe</w:t>
      </w:r>
    </w:p>
    <w:p w14:paraId="7FC449B4" w14:textId="77777777" w:rsidR="0017059F" w:rsidRDefault="0017059F" w:rsidP="0017059F">
      <w:pPr>
        <w:numPr>
          <w:ilvl w:val="0"/>
          <w:numId w:val="8"/>
        </w:numPr>
        <w:tabs>
          <w:tab w:val="left" w:pos="144"/>
        </w:tabs>
        <w:spacing w:line="276" w:lineRule="auto"/>
        <w:ind w:left="144" w:hanging="14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wysokość słupka 3,5 m</w:t>
      </w:r>
    </w:p>
    <w:p w14:paraId="284C7A2D" w14:textId="77777777" w:rsidR="0017059F" w:rsidRDefault="0017059F" w:rsidP="0017059F">
      <w:pPr>
        <w:numPr>
          <w:ilvl w:val="0"/>
          <w:numId w:val="8"/>
        </w:numPr>
        <w:tabs>
          <w:tab w:val="left" w:pos="144"/>
        </w:tabs>
        <w:spacing w:line="276" w:lineRule="auto"/>
        <w:ind w:left="144" w:hanging="14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średnica zewnętrzna słupka 88,8 mm</w:t>
      </w:r>
    </w:p>
    <w:p w14:paraId="18F7C686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7487C2AA" w14:textId="77777777" w:rsidR="0017059F" w:rsidRDefault="0017059F" w:rsidP="0017059F">
      <w:pPr>
        <w:spacing w:line="276" w:lineRule="auto"/>
        <w:ind w:left="4" w:right="20" w:firstLine="708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Montażu słupka z lustrem drogowym dokonujemy z zachowaniem skrajni drogowej tak jak przy montażu oznakowania pionowego tj. min. 2,20 m skrajnia pionowa i min. 0,5 m skrajnia pozioma. </w:t>
      </w:r>
      <w:bookmarkEnd w:id="2"/>
      <w:r>
        <w:rPr>
          <w:rFonts w:ascii="Arial" w:eastAsia="Arial" w:hAnsi="Arial"/>
          <w:sz w:val="22"/>
        </w:rPr>
        <w:t>W zależności od gruntu w jakim jest montowany słupek betonujemy go. W celu zapewnienia lepszej widoczności montujemy podpórki pod lustra, które dają odpowiedni kąt nachylenia lustra. W lokalizacjach gdzie lustro musi być zamontowane na miejscach postojowych należy zastosować z obu stron lustra słupki biało czerwone co uniemożliwi najechanie bądź uderzenie w słupek lustra.</w:t>
      </w:r>
    </w:p>
    <w:p w14:paraId="1743F89C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25A52E19" w14:textId="77777777" w:rsidR="0017059F" w:rsidRDefault="0017059F" w:rsidP="0017059F">
      <w:pPr>
        <w:spacing w:line="276" w:lineRule="auto"/>
        <w:ind w:left="4" w:right="4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lastRenderedPageBreak/>
        <w:t>Montaż słupka do ściany na minimum trzy śruby mocujące uchwyt z możliwością ustawienia kąta nachylenia w poziomie i pionie.</w:t>
      </w:r>
    </w:p>
    <w:p w14:paraId="4CE63C1D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379D05DE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Poniżej fotografia zamontowanego lustra drogowego mocowanego na słupku</w:t>
      </w:r>
    </w:p>
    <w:p w14:paraId="1DF6ED9E" w14:textId="613D0F9F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noProof/>
          <w:sz w:val="22"/>
        </w:rPr>
        <w:drawing>
          <wp:inline distT="0" distB="0" distL="0" distR="0" wp14:anchorId="5B5E0E6A" wp14:editId="04B9A6B5">
            <wp:extent cx="4772025" cy="36004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8351" w14:textId="7CFDE553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  <w:sectPr w:rsidR="0017059F" w:rsidSect="0017059F">
          <w:pgSz w:w="11900" w:h="16838"/>
          <w:pgMar w:top="713" w:right="1127" w:bottom="1440" w:left="1416" w:header="0" w:footer="0" w:gutter="0"/>
          <w:cols w:space="0" w:equalWidth="0">
            <w:col w:w="9364"/>
          </w:cols>
          <w:docGrid w:linePitch="360"/>
        </w:sectPr>
      </w:pPr>
      <w:r>
        <w:rPr>
          <w:rFonts w:ascii="Arial" w:eastAsia="Arial" w:hAnsi="Arial"/>
          <w:noProof/>
          <w:sz w:val="22"/>
        </w:rPr>
        <w:drawing>
          <wp:inline distT="0" distB="0" distL="0" distR="0" wp14:anchorId="425BE4EE" wp14:editId="6E20D7A6">
            <wp:extent cx="4810125" cy="36004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87C1" w14:textId="77777777" w:rsidR="0017059F" w:rsidRPr="00FC3D55" w:rsidRDefault="0017059F" w:rsidP="0017059F">
      <w:pPr>
        <w:spacing w:line="276" w:lineRule="auto"/>
        <w:jc w:val="both"/>
        <w:rPr>
          <w:rFonts w:ascii="Arial" w:eastAsia="Arial" w:hAnsi="Arial"/>
          <w:b/>
          <w:bCs/>
          <w:sz w:val="22"/>
          <w:u w:val="single"/>
        </w:rPr>
      </w:pPr>
    </w:p>
    <w:p w14:paraId="44ACBBF9" w14:textId="77777777" w:rsidR="0017059F" w:rsidRPr="00FC3D55" w:rsidRDefault="0017059F" w:rsidP="0017059F">
      <w:pPr>
        <w:spacing w:line="276" w:lineRule="auto"/>
        <w:jc w:val="both"/>
        <w:rPr>
          <w:rFonts w:ascii="Arial" w:eastAsia="Arial" w:hAnsi="Arial"/>
          <w:b/>
          <w:bCs/>
          <w:sz w:val="22"/>
          <w:u w:val="single"/>
        </w:rPr>
      </w:pPr>
      <w:r w:rsidRPr="00FC3D55">
        <w:rPr>
          <w:rFonts w:ascii="Arial" w:eastAsia="Arial" w:hAnsi="Arial"/>
          <w:b/>
          <w:bCs/>
          <w:sz w:val="22"/>
          <w:u w:val="single"/>
        </w:rPr>
        <w:t>Wymagania dla tablic  uchylnych U-24</w:t>
      </w:r>
    </w:p>
    <w:p w14:paraId="31B41686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3E703797" w14:textId="1EE11104" w:rsidR="0017059F" w:rsidRPr="009278FE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Tablice uchylne U-24 spełniają funkcję tymczasowych słupków prowadzących, służących np. do oznaczania robót drogowych, rozdzielania pasów ruchu, wyznaczania krawędzi powierzchni wyłączonych znakiem P</w:t>
      </w:r>
      <w:r w:rsidR="009278FE">
        <w:rPr>
          <w:rFonts w:ascii="Arial" w:eastAsia="Arial" w:hAnsi="Arial"/>
          <w:sz w:val="22"/>
        </w:rPr>
        <w:t>-</w:t>
      </w:r>
      <w:r>
        <w:rPr>
          <w:rFonts w:ascii="Arial" w:eastAsia="Arial" w:hAnsi="Arial"/>
          <w:sz w:val="22"/>
        </w:rPr>
        <w:t>21.</w:t>
      </w:r>
    </w:p>
    <w:p w14:paraId="2A8B84FA" w14:textId="762C5C62" w:rsidR="0017059F" w:rsidRDefault="0017059F" w:rsidP="0017059F">
      <w:pPr>
        <w:spacing w:line="276" w:lineRule="auto"/>
        <w:ind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Tablica uchylna musi mieć konstrukcję podatną w celu zabezpieczenia przed zniszczeniem wskutek najechania pojazdu. Elementy te nie powinny podczas zgięcia załamywać się ani tak odkształcać trwale, by odbłyśnik był trwale zasłonięty, choćby częściowo.</w:t>
      </w:r>
    </w:p>
    <w:p w14:paraId="45793AB2" w14:textId="77777777" w:rsidR="0017059F" w:rsidRDefault="0017059F" w:rsidP="0017059F">
      <w:pPr>
        <w:spacing w:line="276" w:lineRule="auto"/>
        <w:ind w:right="20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Podstawa z materiału wytrzymującego przejazdy pojazdów samochodowych</w:t>
      </w:r>
      <w:r>
        <w:rPr>
          <w:rFonts w:ascii="Arial" w:eastAsia="Arial" w:hAnsi="Arial"/>
          <w:sz w:val="22"/>
        </w:rPr>
        <w:t xml:space="preserve"> </w:t>
      </w:r>
      <w:r w:rsidRPr="00766BF4">
        <w:rPr>
          <w:rFonts w:ascii="Arial" w:eastAsia="Arial" w:hAnsi="Arial"/>
          <w:sz w:val="22"/>
        </w:rPr>
        <w:t xml:space="preserve">zawierająca  element odblaskowy umieszczony w ten sposób, aby zapewniał widzialność w nocy, a także </w:t>
      </w:r>
      <w:r>
        <w:rPr>
          <w:rFonts w:ascii="Arial" w:eastAsia="Arial" w:hAnsi="Arial"/>
          <w:sz w:val="22"/>
        </w:rPr>
        <w:br/>
      </w:r>
      <w:r w:rsidRPr="00766BF4">
        <w:rPr>
          <w:rFonts w:ascii="Arial" w:eastAsia="Arial" w:hAnsi="Arial"/>
          <w:sz w:val="22"/>
        </w:rPr>
        <w:t>w czasie opadów deszczu wg PN-EN 1463-1:2009 umieszczonymi na dwóch bokach podstawy. W podstawie, na stronie spodniej powinny być wgłębienia umożliwiające wypełnienie klejem stosowanym do montażu do nawierzchni drogi.</w:t>
      </w:r>
    </w:p>
    <w:p w14:paraId="56CD8A44" w14:textId="77777777" w:rsidR="0017059F" w:rsidRDefault="0017059F" w:rsidP="0017059F">
      <w:pPr>
        <w:spacing w:line="276" w:lineRule="auto"/>
        <w:ind w:right="20"/>
        <w:jc w:val="both"/>
        <w:rPr>
          <w:rFonts w:ascii="Arial" w:eastAsia="Arial" w:hAnsi="Arial"/>
          <w:sz w:val="22"/>
        </w:rPr>
      </w:pPr>
    </w:p>
    <w:p w14:paraId="263E371C" w14:textId="77777777" w:rsidR="0017059F" w:rsidRPr="00FC3D55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Odbłyśnik, będący częścią podstawy i pióra może być:</w:t>
      </w:r>
    </w:p>
    <w:p w14:paraId="3BD4EFEF" w14:textId="77777777" w:rsidR="0017059F" w:rsidRPr="00FC3D55" w:rsidRDefault="0017059F" w:rsidP="0017059F">
      <w:pPr>
        <w:numPr>
          <w:ilvl w:val="0"/>
          <w:numId w:val="15"/>
        </w:numPr>
        <w:tabs>
          <w:tab w:val="left" w:pos="596"/>
        </w:tabs>
        <w:spacing w:line="276" w:lineRule="auto"/>
        <w:ind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szklany lub plastikowy w całości lub z dodatkową warstwą odbijającą znajdującą się na powierzchni nie wystawionej na zewnątrz i nie narażoną na przejeżdżanie pojazdów,</w:t>
      </w:r>
    </w:p>
    <w:p w14:paraId="73057797" w14:textId="77777777" w:rsidR="0017059F" w:rsidRDefault="0017059F" w:rsidP="0017059F">
      <w:pPr>
        <w:numPr>
          <w:ilvl w:val="0"/>
          <w:numId w:val="15"/>
        </w:numPr>
        <w:tabs>
          <w:tab w:val="left" w:pos="644"/>
        </w:tabs>
        <w:spacing w:line="276" w:lineRule="auto"/>
        <w:ind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plastikowy z warstwą zabezpieczającą przed ścieraniem, który może mieć warstwę odbijającą tylko w miejscu nie wystawionym na ruch i w którym powierzchnie wystawione na ruch są zabezpieczone warstwami odpornymi na ścieranie.</w:t>
      </w:r>
    </w:p>
    <w:p w14:paraId="33C9DEE8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62793848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Profil podstawy nie powinien mieć żadnych ostrych krawędzi od strony najeżdżanej przez pojazdy. Jeśli jest wykonana z dwu lub więcej części, każda z nich powinna być usuwalna tylko za pomocą narzędzi polecanych przez producenta. </w:t>
      </w:r>
    </w:p>
    <w:p w14:paraId="0D01917E" w14:textId="3B569235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Wymiary podstawy 120x120x25 mm. </w:t>
      </w:r>
    </w:p>
    <w:p w14:paraId="1037482C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Element pionowy (pióro) wykonany z elastycznej gumy w kolorze czerwonym, podatnej na zginanie pod kątem minimum 180 stopni również w temperaturach poniżej 0 stopni Celsjusza. </w:t>
      </w:r>
    </w:p>
    <w:p w14:paraId="33D878B5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Wyposażony w nie mniej niż dwa elementy odblaskowe w kolorze białym po jednym na każdym z szerszych boków. Wysokość 225-230mm. </w:t>
      </w:r>
    </w:p>
    <w:p w14:paraId="129B7E7D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</w:p>
    <w:p w14:paraId="725046DE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Sposób montażu pióra powinien umożliwiać jego wymianę po zamontowaniu znaku U24 bez konieczności usuwania podstawy z nawierzchni drogi. Demontaż pióra powinien odbywać się za pomocą narzędzi polecanych przez producenta.</w:t>
      </w:r>
    </w:p>
    <w:p w14:paraId="0CBB9B1A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7364046A" w14:textId="77777777" w:rsidR="0017059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Montaż znaku do nawierzchni za pomocą kleju lub kotwiczony przy pomocy kołków rozporowych</w:t>
      </w:r>
      <w:r>
        <w:rPr>
          <w:rFonts w:ascii="Arial" w:eastAsia="Arial" w:hAnsi="Arial"/>
          <w:sz w:val="22"/>
        </w:rPr>
        <w:t>.</w:t>
      </w:r>
    </w:p>
    <w:p w14:paraId="2F7AFEF0" w14:textId="77777777" w:rsidR="0017059F" w:rsidRDefault="0017059F" w:rsidP="0017059F">
      <w:pPr>
        <w:spacing w:line="276" w:lineRule="auto"/>
        <w:ind w:right="20"/>
        <w:jc w:val="both"/>
        <w:rPr>
          <w:rFonts w:ascii="Arial" w:eastAsia="Arial" w:hAnsi="Arial"/>
          <w:sz w:val="22"/>
        </w:rPr>
      </w:pPr>
    </w:p>
    <w:p w14:paraId="1C92FCBB" w14:textId="77777777" w:rsidR="0017059F" w:rsidRPr="00766BF4" w:rsidRDefault="0017059F" w:rsidP="0017059F">
      <w:pPr>
        <w:spacing w:line="276" w:lineRule="auto"/>
        <w:jc w:val="both"/>
        <w:rPr>
          <w:rFonts w:ascii="Arial" w:eastAsia="Arial" w:hAnsi="Arial"/>
          <w:b/>
          <w:bCs/>
          <w:sz w:val="22"/>
          <w:u w:val="single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>Wymagania dla  kleju dwuskładnikowego do montażu  na zimno (szybkoschnący)</w:t>
      </w:r>
    </w:p>
    <w:p w14:paraId="4DF6469C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1439F004" w14:textId="7BFF9CBE" w:rsidR="0017059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  <w:sectPr w:rsidR="0017059F" w:rsidSect="0017059F">
          <w:pgSz w:w="11900" w:h="16838"/>
          <w:pgMar w:top="713" w:right="1127" w:bottom="821" w:left="1420" w:header="0" w:footer="0" w:gutter="0"/>
          <w:cols w:space="0" w:equalWidth="0">
            <w:col w:w="9360"/>
          </w:cols>
          <w:docGrid w:linePitch="360"/>
        </w:sectPr>
      </w:pPr>
      <w:r>
        <w:rPr>
          <w:rFonts w:ascii="Arial" w:eastAsia="Arial" w:hAnsi="Arial"/>
          <w:sz w:val="22"/>
        </w:rPr>
        <w:t xml:space="preserve">Klej dwuskładnikowy bezrozpuszczalnikowy oparty na żywicy poliuretanowej, składający się </w:t>
      </w:r>
      <w:r>
        <w:rPr>
          <w:rFonts w:ascii="Arial" w:eastAsia="Arial" w:hAnsi="Arial"/>
          <w:sz w:val="22"/>
        </w:rPr>
        <w:br/>
        <w:t>z bazy oraz aktywatora. Klej nakładany na zimno - do przytwierdzania punktowych elementów odblaskowych na powierzchniach asfaltowych oraz betonowych.</w:t>
      </w:r>
    </w:p>
    <w:p w14:paraId="36D53463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  <w:bookmarkStart w:id="3" w:name="page6"/>
      <w:bookmarkEnd w:id="3"/>
    </w:p>
    <w:p w14:paraId="2C477EFA" w14:textId="77777777" w:rsidR="0017059F" w:rsidRPr="00766BF4" w:rsidRDefault="0017059F" w:rsidP="0017059F">
      <w:pPr>
        <w:spacing w:line="276" w:lineRule="auto"/>
        <w:ind w:left="4"/>
        <w:jc w:val="both"/>
        <w:rPr>
          <w:rFonts w:ascii="Arial" w:eastAsia="Arial" w:hAnsi="Arial"/>
          <w:b/>
          <w:bCs/>
          <w:sz w:val="22"/>
          <w:u w:val="single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>Wymagania dla  punktowych elementów odblaskowych PEO tzw. „kocie oczy”</w:t>
      </w:r>
    </w:p>
    <w:p w14:paraId="4DDEFB76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7E61B202" w14:textId="52D14AFB" w:rsidR="0017059F" w:rsidRDefault="009278FE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 w:rsidRPr="009278FE">
        <w:rPr>
          <w:rFonts w:ascii="Arial" w:eastAsia="Arial" w:hAnsi="Arial"/>
          <w:sz w:val="22"/>
        </w:rPr>
        <w:t xml:space="preserve">Dwustronne biało-czerwone lub dwustronne białe (zależnie od potrzeb). Punktowe, nawierzchniowe elementy odblaskowe (odblaski </w:t>
      </w:r>
      <w:proofErr w:type="spellStart"/>
      <w:r w:rsidRPr="009278FE">
        <w:rPr>
          <w:rFonts w:ascii="Arial" w:eastAsia="Arial" w:hAnsi="Arial"/>
          <w:sz w:val="22"/>
        </w:rPr>
        <w:t>najezdniowe</w:t>
      </w:r>
      <w:proofErr w:type="spellEnd"/>
      <w:r w:rsidRPr="009278FE">
        <w:rPr>
          <w:rFonts w:ascii="Arial" w:eastAsia="Arial" w:hAnsi="Arial"/>
          <w:sz w:val="22"/>
        </w:rPr>
        <w:t>) przeznaczone do nanoszenia na nawierzchnie asfaltowe lub betonowe. Obudowa elementów musi być wykonana jest z polimeru technologicznego, zapewniającego wymaganą odporność na uderzenia oraz ścieranie. Powinny posiadać wbudowane elementy odblaskowe (odbłyśniki), zapewniające widoczność w nocy, zarówno w warunkach suchych, jak i podczas opadów atmosferycznych. Wymagane są obustronne wgłębienia w korpusie elementu ułatwiające aplikację na jezdni. Naklejanie na ogólnie dostępne kleje bitumiczne lub epoksydowe. PEO powinny być odporne na przejazd pługu w czasie odśnieżania jezdni (w zakresie montażu) oraz odporne na ściskanie &gt;250kN (najechanie przez samochód). PEO muszą być odporne na temperaturę -30 do 90 st. C.</w:t>
      </w:r>
    </w:p>
    <w:p w14:paraId="04F6F642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1151FB73" w14:textId="77777777" w:rsidR="0017059F" w:rsidRPr="00766BF4" w:rsidRDefault="0017059F" w:rsidP="0017059F">
      <w:pPr>
        <w:spacing w:line="276" w:lineRule="auto"/>
        <w:ind w:left="4"/>
        <w:jc w:val="both"/>
        <w:rPr>
          <w:rFonts w:ascii="Arial" w:eastAsia="Arial" w:hAnsi="Arial"/>
          <w:b/>
          <w:bCs/>
          <w:sz w:val="22"/>
          <w:u w:val="single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>Wymagania dla progów wyspowych</w:t>
      </w:r>
    </w:p>
    <w:p w14:paraId="11282A78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4CF20034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Progi wyspowe należy stosować o wymiarach 2000 x 1800 x 65 mm z tworzyw odpornych na ścieranie, przykręcane do nawierzchni drogi przy pomocy kołków 14x160mm i śrub ø10 o długości 180 mm, a także bezwzględne stosowanie do progów wyspowych modułów kotwiących w postaci dwuteowego elementu zespalającego dołączonych przez producenta progu. Dla kierunku jazdy, na progu, należy zastosować odblaski poprawiające widoczność w nocy.</w:t>
      </w:r>
    </w:p>
    <w:p w14:paraId="7AFEB715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18C2ABEC" w14:textId="77777777" w:rsidR="0017059F" w:rsidRPr="00766BF4" w:rsidRDefault="0017059F" w:rsidP="0017059F">
      <w:pPr>
        <w:spacing w:line="276" w:lineRule="auto"/>
        <w:ind w:left="4"/>
        <w:jc w:val="both"/>
        <w:rPr>
          <w:rFonts w:ascii="Arial" w:eastAsia="Arial" w:hAnsi="Arial"/>
          <w:b/>
          <w:bCs/>
          <w:sz w:val="22"/>
          <w:u w:val="single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>Wymagania dla  progów budowanych.</w:t>
      </w:r>
    </w:p>
    <w:p w14:paraId="7F4A49FB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60052CCD" w14:textId="1886A1F9" w:rsidR="0017059F" w:rsidRDefault="0017059F" w:rsidP="0017059F">
      <w:pPr>
        <w:tabs>
          <w:tab w:val="left" w:pos="8364"/>
        </w:tabs>
        <w:spacing w:line="276" w:lineRule="auto"/>
        <w:ind w:left="4" w:right="98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Progi budowane należy wykonać z kostki typu </w:t>
      </w:r>
      <w:proofErr w:type="spellStart"/>
      <w:r>
        <w:rPr>
          <w:rFonts w:ascii="Arial" w:eastAsia="Arial" w:hAnsi="Arial"/>
          <w:sz w:val="22"/>
        </w:rPr>
        <w:t>behaton</w:t>
      </w:r>
      <w:proofErr w:type="spellEnd"/>
      <w:r>
        <w:rPr>
          <w:rFonts w:ascii="Arial" w:eastAsia="Arial" w:hAnsi="Arial"/>
          <w:sz w:val="22"/>
        </w:rPr>
        <w:t xml:space="preserve"> na minimum 15 centymetrowej</w:t>
      </w:r>
      <w:r>
        <w:rPr>
          <w:rFonts w:ascii="Arial" w:eastAsia="Arial" w:hAnsi="Arial"/>
          <w:sz w:val="22"/>
        </w:rPr>
        <w:t xml:space="preserve"> </w:t>
      </w:r>
      <w:r>
        <w:rPr>
          <w:rFonts w:ascii="Arial" w:eastAsia="Arial" w:hAnsi="Arial"/>
          <w:sz w:val="22"/>
        </w:rPr>
        <w:t>podbudowie z wykorzystaniem betonu C8/10.</w:t>
      </w:r>
    </w:p>
    <w:p w14:paraId="41948FCF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7B5DE225" w14:textId="77777777" w:rsidR="0017059F" w:rsidRPr="00766BF4" w:rsidRDefault="0017059F" w:rsidP="0017059F">
      <w:pPr>
        <w:spacing w:line="276" w:lineRule="auto"/>
        <w:ind w:left="4"/>
        <w:jc w:val="both"/>
        <w:rPr>
          <w:rFonts w:ascii="Arial" w:eastAsia="Arial" w:hAnsi="Arial"/>
          <w:b/>
          <w:bCs/>
          <w:sz w:val="22"/>
          <w:u w:val="single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>Wymagania dla mat z guzami dla osób z dysfunkcją narządu wzroku.</w:t>
      </w:r>
    </w:p>
    <w:p w14:paraId="5BB99F80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7B28C74A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Maty z guzami przed przejściami dla pieszych – z wytrzymałych materiałów, antypoślizgowe, w kolorze żółtym. Zgodne ze standardami dostępności miasta Poznania. Przyklejane tak aby szczelnie wypełnić przestrzeń pomiędzy nawierzchnią drogi a matą. W przypadku wymiany nawierzchni chodnika zaleca się maty guzowate betonowe. Minimalna szerokość to 60 cm (do 80 cm). Współczynnik tarcia SRT minimum 40. </w:t>
      </w:r>
    </w:p>
    <w:p w14:paraId="66726142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</w:p>
    <w:p w14:paraId="4D0A1916" w14:textId="77777777" w:rsidR="0017059F" w:rsidRPr="00766BF4" w:rsidRDefault="0017059F" w:rsidP="0017059F">
      <w:pPr>
        <w:spacing w:line="276" w:lineRule="auto"/>
        <w:ind w:left="4"/>
        <w:jc w:val="both"/>
        <w:rPr>
          <w:rFonts w:ascii="Arial" w:eastAsia="Arial" w:hAnsi="Arial"/>
          <w:b/>
          <w:bCs/>
          <w:sz w:val="22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 xml:space="preserve">Wymagania dla </w:t>
      </w:r>
      <w:proofErr w:type="spellStart"/>
      <w:r w:rsidRPr="00766BF4">
        <w:rPr>
          <w:rFonts w:ascii="Arial" w:eastAsia="Arial" w:hAnsi="Arial"/>
          <w:b/>
          <w:bCs/>
          <w:sz w:val="22"/>
          <w:u w:val="single"/>
        </w:rPr>
        <w:t>azyli</w:t>
      </w:r>
      <w:proofErr w:type="spellEnd"/>
      <w:r w:rsidRPr="00766BF4">
        <w:rPr>
          <w:rFonts w:ascii="Arial" w:eastAsia="Arial" w:hAnsi="Arial"/>
          <w:b/>
          <w:bCs/>
          <w:sz w:val="22"/>
          <w:u w:val="single"/>
        </w:rPr>
        <w:t xml:space="preserve"> prefabrykowanych.</w:t>
      </w:r>
    </w:p>
    <w:p w14:paraId="1771415A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674E848B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Azyle prefabrykowane budowane z elementów o wymiarach 50 cm na 50 cm (elementy środkowe, boczne, narożne) pozwalające na montaż </w:t>
      </w:r>
      <w:proofErr w:type="spellStart"/>
      <w:r>
        <w:rPr>
          <w:rFonts w:ascii="Arial" w:eastAsia="Arial" w:hAnsi="Arial"/>
          <w:sz w:val="22"/>
        </w:rPr>
        <w:t>azyli</w:t>
      </w:r>
      <w:proofErr w:type="spellEnd"/>
      <w:r>
        <w:rPr>
          <w:rFonts w:ascii="Arial" w:eastAsia="Arial" w:hAnsi="Arial"/>
          <w:sz w:val="22"/>
        </w:rPr>
        <w:t xml:space="preserve"> o wymaganych wymiarach. Zewnętrzne powierzchnie oznaczone elementami odblaskowymi.</w:t>
      </w:r>
    </w:p>
    <w:p w14:paraId="0C1D2B8A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</w:p>
    <w:p w14:paraId="6C377094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b/>
          <w:bCs/>
          <w:sz w:val="22"/>
          <w:u w:val="single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>Wymagania dla słupków przeszkodowyc</w:t>
      </w:r>
      <w:r>
        <w:rPr>
          <w:rFonts w:ascii="Arial" w:eastAsia="Arial" w:hAnsi="Arial"/>
          <w:b/>
          <w:bCs/>
          <w:sz w:val="22"/>
          <w:u w:val="single"/>
        </w:rPr>
        <w:t>h</w:t>
      </w:r>
    </w:p>
    <w:p w14:paraId="1FDEE706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b/>
          <w:bCs/>
          <w:sz w:val="22"/>
          <w:u w:val="single"/>
        </w:rPr>
      </w:pPr>
    </w:p>
    <w:p w14:paraId="4551912B" w14:textId="77777777" w:rsidR="0017059F" w:rsidRDefault="0017059F" w:rsidP="0017059F">
      <w:pPr>
        <w:spacing w:line="276" w:lineRule="auto"/>
        <w:ind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U5a – pylon niepodatny wykonany z tworzywa w kolorze żółtym, oklejony paskami foli odblaskowej II generacji. Wymiary wysokość 900 mm, średnica 200 mm, podstawa 300 mm. W podstawie minimum 2 otwory do montażu za pomocą wkrętów i kołków rozporowych.</w:t>
      </w:r>
    </w:p>
    <w:p w14:paraId="653AFD1B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26CBF1BF" w14:textId="77777777" w:rsidR="0017059F" w:rsidRDefault="0017059F" w:rsidP="0017059F">
      <w:pPr>
        <w:spacing w:line="276" w:lineRule="auto"/>
        <w:ind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U5b w dwóch wariantach w zależności od lokalizacji (oklejony paskami foli odblaskowej II generacji):</w:t>
      </w:r>
    </w:p>
    <w:p w14:paraId="002DB27B" w14:textId="73BA1850" w:rsidR="0017059F" w:rsidRDefault="0017059F" w:rsidP="0017059F">
      <w:pPr>
        <w:spacing w:line="276" w:lineRule="auto"/>
        <w:ind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lastRenderedPageBreak/>
        <w:t xml:space="preserve">- </w:t>
      </w:r>
      <w:r>
        <w:rPr>
          <w:rFonts w:ascii="Arial" w:eastAsia="Arial" w:hAnsi="Arial"/>
          <w:sz w:val="22"/>
        </w:rPr>
        <w:t>Pylon niepodatny do montażu w azylu montowanym z prefabrykatów, wymiar podstawy nie może być większy niż 500 mm, z uwagi na montaż wewnątrz azylu. Średnica zintegrowanego znaku C9 600 mm.</w:t>
      </w:r>
    </w:p>
    <w:p w14:paraId="7424C9E9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</w:p>
    <w:p w14:paraId="4262D673" w14:textId="77777777" w:rsidR="0017059F" w:rsidRDefault="0017059F" w:rsidP="0017059F">
      <w:pPr>
        <w:numPr>
          <w:ilvl w:val="0"/>
          <w:numId w:val="9"/>
        </w:numPr>
        <w:tabs>
          <w:tab w:val="left" w:pos="898"/>
        </w:tabs>
        <w:spacing w:line="276" w:lineRule="auto"/>
        <w:ind w:firstLine="70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Pylon podatny do montażu w miejscach narażonych na kolizję i najechanie przez pojazdy samochodowe. Montaż na kołki rozporowe. Pylon musi być odporny na wielokrotne uderzenie oraz pełne najechanie pojazd.</w:t>
      </w:r>
    </w:p>
    <w:p w14:paraId="64C9C3BB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5B65260F" w14:textId="58618721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Pylon U5c – składający się z pylonu U5a z rurą stalową o średnicy 60,3 mm w środku z zamontowanym metalowym znakiem C9 mini</w:t>
      </w:r>
      <w:r>
        <w:rPr>
          <w:rFonts w:ascii="Arial" w:eastAsia="Arial" w:hAnsi="Arial"/>
          <w:sz w:val="22"/>
        </w:rPr>
        <w:t>.</w:t>
      </w:r>
    </w:p>
    <w:p w14:paraId="3089ED4F" w14:textId="77777777" w:rsidR="009278FE" w:rsidRDefault="009278FE" w:rsidP="0017059F">
      <w:pPr>
        <w:spacing w:line="276" w:lineRule="auto"/>
        <w:jc w:val="both"/>
        <w:rPr>
          <w:rFonts w:ascii="Arial" w:eastAsia="Arial" w:hAnsi="Arial"/>
          <w:sz w:val="22"/>
        </w:rPr>
      </w:pPr>
    </w:p>
    <w:p w14:paraId="5272045A" w14:textId="77777777" w:rsidR="0017059F" w:rsidRPr="00AA0D4F" w:rsidRDefault="0017059F" w:rsidP="0017059F">
      <w:pPr>
        <w:spacing w:line="276" w:lineRule="auto"/>
        <w:jc w:val="both"/>
        <w:rPr>
          <w:rFonts w:ascii="Arial" w:eastAsia="Arial" w:hAnsi="Arial"/>
          <w:b/>
          <w:bCs/>
          <w:sz w:val="22"/>
          <w:u w:val="single"/>
        </w:rPr>
      </w:pPr>
      <w:r w:rsidRPr="00AA0D4F">
        <w:rPr>
          <w:rFonts w:ascii="Arial" w:eastAsia="Arial" w:hAnsi="Arial"/>
          <w:b/>
          <w:bCs/>
          <w:sz w:val="22"/>
          <w:u w:val="single"/>
        </w:rPr>
        <w:t>Wymagania dla separatorów</w:t>
      </w:r>
    </w:p>
    <w:p w14:paraId="7B1DC55C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4029645D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Separatory – wymagane elementy odblaskowe na powierzaniach zewnętrznych.</w:t>
      </w:r>
    </w:p>
    <w:p w14:paraId="0EFC2D10" w14:textId="77777777" w:rsidR="0017059F" w:rsidRPr="00AA0D4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Separatory parkingowe – wysokość około 100-120 mm stosowane na parkingach.</w:t>
      </w:r>
    </w:p>
    <w:p w14:paraId="7B597A27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Separatory pojedynczy do stosowania na jezdni o wysokości około 40 mm – zakończenie zaokrąglone.</w:t>
      </w:r>
    </w:p>
    <w:p w14:paraId="32B024FA" w14:textId="77777777" w:rsidR="0017059F" w:rsidRPr="00AA0D4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Separator  drogowy  ciągły  (elementy  środkowe  i  zakończeniowe)  wysokość  około  80  mm.</w:t>
      </w:r>
    </w:p>
    <w:p w14:paraId="2A875992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Stosowany np. do separacji pasów ruchu.</w:t>
      </w:r>
    </w:p>
    <w:p w14:paraId="25840C35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55D522BF" w14:textId="77777777" w:rsidR="0017059F" w:rsidRPr="00AA0D4F" w:rsidRDefault="0017059F" w:rsidP="0017059F">
      <w:pPr>
        <w:spacing w:line="276" w:lineRule="auto"/>
        <w:jc w:val="both"/>
        <w:rPr>
          <w:rFonts w:ascii="Arial" w:eastAsia="Arial" w:hAnsi="Arial"/>
          <w:b/>
          <w:bCs/>
          <w:sz w:val="22"/>
          <w:u w:val="single"/>
        </w:rPr>
      </w:pPr>
      <w:r w:rsidRPr="00AA0D4F">
        <w:rPr>
          <w:rFonts w:ascii="Arial" w:eastAsia="Arial" w:hAnsi="Arial"/>
          <w:b/>
          <w:bCs/>
          <w:sz w:val="22"/>
          <w:u w:val="single"/>
        </w:rPr>
        <w:t>Wymagania dla słupków blokujących podatnych</w:t>
      </w:r>
    </w:p>
    <w:p w14:paraId="6CA2DCE4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3F00F90F" w14:textId="77777777" w:rsidR="0017059F" w:rsidRPr="00AA0D4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Słupki elastyczne, łatwy montaż / demontaż wzór zgodny z katalogiem mebli miejskich.</w:t>
      </w:r>
    </w:p>
    <w:p w14:paraId="235F9363" w14:textId="77777777" w:rsidR="0017059F" w:rsidRPr="00AA0D4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Słupki powinny być produkowane z </w:t>
      </w:r>
      <w:proofErr w:type="spellStart"/>
      <w:r>
        <w:rPr>
          <w:rFonts w:ascii="Arial" w:eastAsia="Arial" w:hAnsi="Arial"/>
          <w:sz w:val="22"/>
        </w:rPr>
        <w:t>elastomerycznego</w:t>
      </w:r>
      <w:proofErr w:type="spellEnd"/>
      <w:r>
        <w:rPr>
          <w:rFonts w:ascii="Arial" w:eastAsia="Arial" w:hAnsi="Arial"/>
          <w:sz w:val="22"/>
        </w:rPr>
        <w:t xml:space="preserve"> polimeru z pamięcią kształtu. Słupki muszą być wystarczająco sztywne tj.: tak aby wytrzymały co najmniej 150 kg siły nacisku działającej na 400 mm pachołka znajdującego się nad poziomem gruntu. Taka cecha jest wymagana po to, aby w pełni wygiąć pachołek. Powinny być jednak także wystarczająco elastyczne, aby wytrzymać co najmniej 60 pełnych wygięć (90 stopni) w tym samym kierunku i powrócić do początkowego kształtu bez żadnych zarysowań bądź też uszkodzeń. Ponad to słupki muszą być w stanie wytrzymać siłę uderzenia pojazdu o masie 1500 kg, jadącego z prędkością 80 km/godzinę i powrócić do oryginalnego kształtu bez żadnych zarysowań czy też całkowitej deformacji.</w:t>
      </w:r>
    </w:p>
    <w:p w14:paraId="24A5F5C3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Malowane słupki powinny być produkowane z materiału o podobnym kolorze, a farba finalna, powinna być elastyczna i cechować się wytrzymałością.</w:t>
      </w:r>
    </w:p>
    <w:p w14:paraId="0DD2078B" w14:textId="77777777" w:rsidR="0017059F" w:rsidRPr="00AA0D4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Słupki powinny być odporne na promieniowanie UV oraz warunki atmosferyczne.</w:t>
      </w:r>
    </w:p>
    <w:p w14:paraId="4D7820D5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sz w:val="22"/>
        </w:rPr>
        <w:t>Słupki powinny być bezpieczne dla pieszych i rowerzystów. Powinny spełniać międzynarodowy standard oceny obrażeń głowy (HIC), którego wartość powinna być poniżej 1000.</w:t>
      </w:r>
      <w:r>
        <w:rPr>
          <w:rFonts w:ascii="Arial" w:eastAsia="Arial" w:hAnsi="Arial"/>
          <w:i/>
          <w:sz w:val="22"/>
        </w:rPr>
        <w:t>(HIC-15 &lt; 1000)*.</w:t>
      </w:r>
    </w:p>
    <w:p w14:paraId="14907435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04C6CD28" w14:textId="77777777" w:rsidR="0017059F" w:rsidRPr="00AA0D4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Słupki powinny posiadać temperaturę roboczą w granicach od – 20 stopni C do + 60 stopni C. Słupki powinny być całkowicie zdatne do odzysku oraz obojętne dla środowiska naturalnego. Słupki powinny posiadać certyfikat znaku CE na wyrób/produkt, a nie na jeden z komponentów służących do ich wytworzenia.</w:t>
      </w:r>
    </w:p>
    <w:p w14:paraId="59B917F9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Słupki powinny posiadać uniwersalny system montażu pozwalający na ich instalowanie bezpośrednio w nawierzchni, a także w kotwach, tak aby można było je demontować i montować bez konieczności ingerencji w nawierzchnię.</w:t>
      </w:r>
    </w:p>
    <w:p w14:paraId="2CD99E40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</w:p>
    <w:p w14:paraId="3398BB37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i/>
          <w:sz w:val="22"/>
        </w:rPr>
      </w:pPr>
      <w:r>
        <w:rPr>
          <w:rFonts w:ascii="Arial" w:eastAsia="Arial" w:hAnsi="Arial"/>
          <w:i/>
          <w:sz w:val="22"/>
        </w:rPr>
        <w:t>*HIC (</w:t>
      </w:r>
      <w:proofErr w:type="spellStart"/>
      <w:r>
        <w:rPr>
          <w:rFonts w:ascii="Arial" w:eastAsia="Arial" w:hAnsi="Arial"/>
          <w:i/>
          <w:sz w:val="22"/>
        </w:rPr>
        <w:t>Head</w:t>
      </w:r>
      <w:proofErr w:type="spellEnd"/>
      <w:r>
        <w:rPr>
          <w:rFonts w:ascii="Arial" w:eastAsia="Arial" w:hAnsi="Arial"/>
          <w:i/>
          <w:sz w:val="22"/>
        </w:rPr>
        <w:t xml:space="preserve"> </w:t>
      </w:r>
      <w:proofErr w:type="spellStart"/>
      <w:r>
        <w:rPr>
          <w:rFonts w:ascii="Arial" w:eastAsia="Arial" w:hAnsi="Arial"/>
          <w:i/>
          <w:sz w:val="22"/>
        </w:rPr>
        <w:t>Injury</w:t>
      </w:r>
      <w:proofErr w:type="spellEnd"/>
      <w:r>
        <w:rPr>
          <w:rFonts w:ascii="Arial" w:eastAsia="Arial" w:hAnsi="Arial"/>
          <w:i/>
          <w:sz w:val="22"/>
        </w:rPr>
        <w:t xml:space="preserve"> </w:t>
      </w:r>
      <w:proofErr w:type="spellStart"/>
      <w:r>
        <w:rPr>
          <w:rFonts w:ascii="Arial" w:eastAsia="Arial" w:hAnsi="Arial"/>
          <w:i/>
          <w:sz w:val="22"/>
        </w:rPr>
        <w:t>Criterion</w:t>
      </w:r>
      <w:proofErr w:type="spellEnd"/>
      <w:r>
        <w:rPr>
          <w:rFonts w:ascii="Arial" w:eastAsia="Arial" w:hAnsi="Arial"/>
          <w:i/>
          <w:sz w:val="22"/>
        </w:rPr>
        <w:t xml:space="preserve"> – Kryterium Urazu Głowy), międzynarodowy standard oceny obrażeń głowy przy prędkości 40km/h. Maksymalna wartość HIC , po przekroczeniu której obrażenia mają charakter nieodwracalny wynosi </w:t>
      </w:r>
      <w:r>
        <w:rPr>
          <w:rFonts w:ascii="Arial" w:eastAsia="Arial" w:hAnsi="Arial"/>
          <w:b/>
          <w:i/>
          <w:sz w:val="22"/>
        </w:rPr>
        <w:t>1000</w:t>
      </w:r>
      <w:r>
        <w:rPr>
          <w:rFonts w:ascii="Arial" w:eastAsia="Arial" w:hAnsi="Arial"/>
          <w:i/>
          <w:sz w:val="22"/>
        </w:rPr>
        <w:t>.</w:t>
      </w:r>
    </w:p>
    <w:p w14:paraId="05530F24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5E78899B" w14:textId="77777777" w:rsidR="0017059F" w:rsidRPr="00AA0D4F" w:rsidRDefault="0017059F" w:rsidP="0017059F">
      <w:pPr>
        <w:spacing w:line="276" w:lineRule="auto"/>
        <w:ind w:left="4"/>
        <w:jc w:val="both"/>
        <w:rPr>
          <w:rFonts w:ascii="Arial" w:eastAsia="Arial" w:hAnsi="Arial"/>
          <w:b/>
          <w:bCs/>
          <w:sz w:val="22"/>
          <w:u w:val="single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>Wymagania dla gniazd szybkiego montażu (</w:t>
      </w:r>
      <w:r w:rsidRPr="00AA0D4F">
        <w:rPr>
          <w:rFonts w:ascii="Arial" w:eastAsia="Arial" w:hAnsi="Arial"/>
          <w:b/>
          <w:bCs/>
          <w:sz w:val="22"/>
          <w:u w:val="single"/>
        </w:rPr>
        <w:t>kotw)</w:t>
      </w:r>
    </w:p>
    <w:p w14:paraId="5143DB9F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334D3436" w14:textId="77777777" w:rsidR="0017059F" w:rsidRPr="00AA0D4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Gniazda szybkiego montażu wykonane mają być z odlewów staliwnych lub żeliwnych w postaci monobloków (w części bezpośrednio odpowiedzialnej za stabilizację i regulację słupka w tzw. części pracującej) z elementami pozwalającymi zamontować słupki (konstrukcje) o średnicach 48 ,60 ,76 w zależności od elementu montowanego.</w:t>
      </w:r>
    </w:p>
    <w:p w14:paraId="33D8C01A" w14:textId="77777777" w:rsidR="0017059F" w:rsidRPr="00AA0D4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Zastosowane materiały mają zapewnić odporność na odkształcenia, jakie mogą być skutkiem uderzenia pojazdu w zamontowany w gnieździe słupek.</w:t>
      </w:r>
    </w:p>
    <w:p w14:paraId="1D4E8009" w14:textId="77777777" w:rsidR="0017059F" w:rsidRPr="00AA0D4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Regulacja możliwych do zastosowania średnic słupków ma odbywać się wyłącznie za pomocą redukcji lub adapterów z możliwością kontrowania ich śrubą lub śrubami.</w:t>
      </w:r>
    </w:p>
    <w:p w14:paraId="6792A3E5" w14:textId="77777777" w:rsidR="0017059F" w:rsidRPr="00AA0D4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Gniazdo powinno być wyposażone w jedną bądź dwie śruby mocujące ze stali nierdzewnej M16 A2, znajdujące się w komorze mocującej.</w:t>
      </w:r>
    </w:p>
    <w:p w14:paraId="7FA68518" w14:textId="77777777" w:rsidR="0017059F" w:rsidRPr="00AA0D4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Dostęp do śrub regulacyjnych powinien być zabezpieczony pokrywą z układem dociskowym o klasie nośności B125 , uniemożliwiającą dostęp osób niepowołanych oraz dostanie się zanieczyszczeń powodujących późniejszy brak swobodnego dostępu do śrub. Pokrywa(dekiel) zabezpieczająca powinna być otwierana za pomocą klucza.</w:t>
      </w:r>
    </w:p>
    <w:p w14:paraId="324CE20E" w14:textId="77777777" w:rsidR="0017059F" w:rsidRPr="00AA0D4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Gniazda winny posiadać otwory zapobiegające gromadzeniu się wewnątrz gniazd wody, powodującej korodowanie elementów lub opcję zastosowania uszczelek ograniczających gromadzenie się wody.</w:t>
      </w:r>
    </w:p>
    <w:p w14:paraId="4A890223" w14:textId="77777777" w:rsidR="0017059F" w:rsidRPr="00AA0D4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Gniazda winny posiadać możliwość regulacji głębokości.</w:t>
      </w:r>
    </w:p>
    <w:p w14:paraId="0523C465" w14:textId="77777777" w:rsidR="0017059F" w:rsidRPr="00AA0D4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Dopuszcza się stosowanie elementów z tworzyw sztucznych jedynie dla elementów umożliwiających regulację głębokości osadzenia słupków</w:t>
      </w:r>
    </w:p>
    <w:p w14:paraId="48321BB3" w14:textId="77777777" w:rsidR="0017059F" w:rsidRPr="00AA0D4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Nie dopuszcza się zastosowania elementów gniazd wykonanych z powłok antykorozyjnych innych niż naniesionych tzw. ogniowo lub galwanicznie (</w:t>
      </w:r>
      <w:proofErr w:type="spellStart"/>
      <w:r>
        <w:rPr>
          <w:rFonts w:ascii="Arial" w:eastAsia="Arial" w:hAnsi="Arial"/>
          <w:sz w:val="22"/>
        </w:rPr>
        <w:t>ocynk</w:t>
      </w:r>
      <w:proofErr w:type="spellEnd"/>
      <w:r>
        <w:rPr>
          <w:rFonts w:ascii="Arial" w:eastAsia="Arial" w:hAnsi="Arial"/>
          <w:sz w:val="22"/>
        </w:rPr>
        <w:t>) lub wykonanych ze stali nierdzewnej.</w:t>
      </w:r>
    </w:p>
    <w:p w14:paraId="455D8708" w14:textId="77777777" w:rsidR="0017059F" w:rsidRPr="00AA0D4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Zamontowane gniazda winny zapewniać głębokość osadzania słupka na głębokości od 300mm do 1000mm.</w:t>
      </w:r>
    </w:p>
    <w:p w14:paraId="3012120D" w14:textId="77777777" w:rsidR="0017059F" w:rsidRPr="00AA0D4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Gniazda powinny posiadać możliwość zastosowania kolanka do podłączenia rur osłonowych, w których można umieścić okablowanie do podłączenia zasilania.</w:t>
      </w:r>
    </w:p>
    <w:p w14:paraId="404B55E3" w14:textId="77777777" w:rsidR="0017059F" w:rsidRPr="00AA0D4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Gniazda powinny posiadać gumową maskownicę, której celem jest ograniczenie napływu zanieczyszczeń do komory, w której znajduje się zainstalowany element.</w:t>
      </w:r>
    </w:p>
    <w:p w14:paraId="252AC526" w14:textId="77777777" w:rsidR="0017059F" w:rsidRDefault="0017059F" w:rsidP="0017059F">
      <w:pPr>
        <w:spacing w:line="276" w:lineRule="auto"/>
        <w:ind w:left="4" w:right="2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Nie dopuszcza się zastosowania gniazd w postaci tulei ( o przekroju rurowym większym niż możliwe do zastosowania słupki znaków mocowane jedynie za pomocą śrub kontrujących). Gniazda mają w szczególności zapewnić:</w:t>
      </w:r>
    </w:p>
    <w:p w14:paraId="74DA1AEB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6E479A96" w14:textId="77777777" w:rsidR="0017059F" w:rsidRDefault="0017059F" w:rsidP="0017059F">
      <w:pPr>
        <w:numPr>
          <w:ilvl w:val="0"/>
          <w:numId w:val="10"/>
        </w:numPr>
        <w:tabs>
          <w:tab w:val="left" w:pos="244"/>
        </w:tabs>
        <w:spacing w:line="276" w:lineRule="auto"/>
        <w:ind w:left="4" w:right="3700" w:hanging="4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 xml:space="preserve">W przypadku najechania pojazdu na konstrukcję znaku: </w:t>
      </w:r>
    </w:p>
    <w:p w14:paraId="4C025804" w14:textId="77777777" w:rsidR="0017059F" w:rsidRDefault="0017059F" w:rsidP="0017059F">
      <w:pPr>
        <w:tabs>
          <w:tab w:val="left" w:pos="244"/>
        </w:tabs>
        <w:spacing w:line="276" w:lineRule="auto"/>
        <w:ind w:left="4" w:right="3700"/>
        <w:jc w:val="both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- bezproblemowy demontaż słupka (konstrukcji znaku),</w:t>
      </w:r>
    </w:p>
    <w:p w14:paraId="10F75E1C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- ponowny montaż bez dodatkowych specjalistycznych narzędzi,</w:t>
      </w:r>
    </w:p>
    <w:p w14:paraId="7CE204AD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- ponowny montaż bez ingerencji w nawierzchnię , w której zostały zainstalowane.</w:t>
      </w:r>
    </w:p>
    <w:p w14:paraId="05DA5D02" w14:textId="77777777" w:rsidR="0017059F" w:rsidRPr="00AA0D4F" w:rsidRDefault="0017059F" w:rsidP="0017059F">
      <w:pPr>
        <w:numPr>
          <w:ilvl w:val="0"/>
          <w:numId w:val="10"/>
        </w:numPr>
        <w:tabs>
          <w:tab w:val="left" w:pos="244"/>
        </w:tabs>
        <w:spacing w:line="276" w:lineRule="auto"/>
        <w:ind w:left="244" w:hanging="24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W przypadku tymczasowego demontażu</w:t>
      </w:r>
    </w:p>
    <w:p w14:paraId="252EC874" w14:textId="77777777" w:rsidR="0017059F" w:rsidRDefault="0017059F" w:rsidP="0017059F">
      <w:pPr>
        <w:numPr>
          <w:ilvl w:val="0"/>
          <w:numId w:val="11"/>
        </w:numPr>
        <w:tabs>
          <w:tab w:val="left" w:pos="208"/>
        </w:tabs>
        <w:spacing w:line="276" w:lineRule="auto"/>
        <w:ind w:left="4" w:right="20" w:hanging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możliwość zabezpieczenia / zaślepienia otworu montażowego , w którym znajdował się element.</w:t>
      </w:r>
    </w:p>
    <w:p w14:paraId="0ECCE2DC" w14:textId="77777777" w:rsidR="0017059F" w:rsidRPr="00AA0D4F" w:rsidRDefault="0017059F" w:rsidP="0017059F">
      <w:pPr>
        <w:tabs>
          <w:tab w:val="left" w:pos="208"/>
        </w:tabs>
        <w:spacing w:line="276" w:lineRule="auto"/>
        <w:ind w:left="4" w:right="20"/>
        <w:jc w:val="both"/>
        <w:rPr>
          <w:rFonts w:ascii="Arial" w:eastAsia="Arial" w:hAnsi="Arial"/>
          <w:sz w:val="22"/>
        </w:rPr>
      </w:pPr>
    </w:p>
    <w:p w14:paraId="6527C7CB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Gniazda jako wyrób budowlany powinny posiadać dokument upoważniający je do sprzedaży i stosowania na rynku krajowym tj.</w:t>
      </w:r>
    </w:p>
    <w:p w14:paraId="4228A797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</w:p>
    <w:p w14:paraId="2CB21476" w14:textId="77777777" w:rsidR="0017059F" w:rsidRDefault="0017059F" w:rsidP="0017059F">
      <w:pPr>
        <w:numPr>
          <w:ilvl w:val="0"/>
          <w:numId w:val="11"/>
        </w:numPr>
        <w:tabs>
          <w:tab w:val="left" w:pos="144"/>
        </w:tabs>
        <w:spacing w:line="276" w:lineRule="auto"/>
        <w:ind w:left="144" w:hanging="14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Krajowa Ocena Techniczna wraz z Certyfikatem</w:t>
      </w:r>
    </w:p>
    <w:p w14:paraId="46C7CD15" w14:textId="77777777" w:rsidR="0017059F" w:rsidRDefault="0017059F" w:rsidP="0017059F">
      <w:pPr>
        <w:numPr>
          <w:ilvl w:val="0"/>
          <w:numId w:val="11"/>
        </w:numPr>
        <w:tabs>
          <w:tab w:val="left" w:pos="144"/>
        </w:tabs>
        <w:spacing w:line="276" w:lineRule="auto"/>
        <w:ind w:left="144" w:hanging="14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Deklaracja Właściwości Użytkowych</w:t>
      </w:r>
    </w:p>
    <w:p w14:paraId="7A136CC7" w14:textId="77777777" w:rsidR="0017059F" w:rsidRDefault="0017059F" w:rsidP="0017059F">
      <w:pPr>
        <w:spacing w:line="276" w:lineRule="auto"/>
        <w:jc w:val="both"/>
        <w:rPr>
          <w:rFonts w:ascii="Times New Roman" w:eastAsia="Times New Roman" w:hAnsi="Times New Roman"/>
        </w:rPr>
      </w:pPr>
    </w:p>
    <w:p w14:paraId="5640F970" w14:textId="77777777" w:rsidR="0017059F" w:rsidRDefault="0017059F" w:rsidP="0017059F">
      <w:pPr>
        <w:spacing w:line="276" w:lineRule="auto"/>
        <w:ind w:left="4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Montaż kotw w nawierzchni drogi należy wykonywać zgodnie z instrukcją producenta, otwór w nawierzchni powinien być jak najmniejszy, pozwalający zamontować kotwę, o regularnym kształcie. Zaprawa cementowa musi być 2 cm poniżej poziomu jezdni. Przestrzeń do poziomu jezdni należy wypełnić czarną masą asfaltową.</w:t>
      </w:r>
    </w:p>
    <w:p w14:paraId="15AE344D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</w:p>
    <w:p w14:paraId="5719360D" w14:textId="77777777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</w:pPr>
    </w:p>
    <w:p w14:paraId="7D3B86E2" w14:textId="77777777" w:rsidR="0017059F" w:rsidRPr="00766BF4" w:rsidRDefault="0017059F" w:rsidP="0017059F">
      <w:pPr>
        <w:spacing w:line="276" w:lineRule="auto"/>
        <w:jc w:val="both"/>
        <w:rPr>
          <w:rFonts w:ascii="Arial" w:eastAsia="Arial" w:hAnsi="Arial"/>
          <w:b/>
          <w:bCs/>
          <w:sz w:val="22"/>
          <w:u w:val="single"/>
        </w:rPr>
      </w:pPr>
      <w:r w:rsidRPr="00766BF4">
        <w:rPr>
          <w:rFonts w:ascii="Arial" w:eastAsia="Arial" w:hAnsi="Arial"/>
          <w:b/>
          <w:bCs/>
          <w:sz w:val="22"/>
          <w:u w:val="single"/>
        </w:rPr>
        <w:t>Wymagania dla montażu solarnej sygnalizacji (przejście aktywne) na przejściach dla pieszych</w:t>
      </w:r>
    </w:p>
    <w:p w14:paraId="6FB27719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montaż urządzeń bezpieczeństwa ruchu w postaci aktywnego oznakowania przejść dla pieszych przy znakach pionowych D-6 w ilości 1 zestaw (</w:t>
      </w:r>
      <w:r>
        <w:rPr>
          <w:rFonts w:ascii="Arial" w:eastAsia="Arial" w:hAnsi="Arial"/>
          <w:b/>
          <w:sz w:val="22"/>
        </w:rPr>
        <w:t>uwaga w skład zestawu muszą wchodzić 2 sztuki lamp ostrzegawczych oraz taka ilość czujników obecności, aby zapewnić prawidłowe funkcjonowanie urządzeń</w:t>
      </w:r>
      <w:r>
        <w:rPr>
          <w:rFonts w:ascii="Arial" w:eastAsia="Arial" w:hAnsi="Arial"/>
          <w:sz w:val="22"/>
        </w:rPr>
        <w:t>);</w:t>
      </w:r>
    </w:p>
    <w:p w14:paraId="2C8FE29C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aktywne elementy muszą aktywować się wtedy kiedy powinny, czyli tylko w momencie kiedy pieszy/rowerzysta oczekuje z zamiarem wkroczenia na przejście oraz w trakcie jego pokonywania, nie działać w trybie ciągłym;</w:t>
      </w:r>
    </w:p>
    <w:p w14:paraId="26F53D23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moduł zasilający aktywne elementy musi być zintegrowany z oznakowaniem, musi wykorzystywać odnawialne źródło energii, np. energia słoneczna, przy czym odnawialne źródło musi być wbudowane wewnętrznie w moduł główny;</w:t>
      </w:r>
    </w:p>
    <w:p w14:paraId="29371F9D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komunikacja miedzy aktywnymi elementami jednego przejścia musi odbywać się w sposób bezprzewodowy tj. moduły główne oraz detektory,</w:t>
      </w:r>
    </w:p>
    <w:p w14:paraId="42C490D8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należy uwzględnić, że poszczególne elementy systemu mogą być od siebie oddalone o 30 m, a komunikacja pomiędzy nimi nie może odbywać się za pomocą okablowania;</w:t>
      </w:r>
    </w:p>
    <w:p w14:paraId="09F57AE6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nie dopuszcza się połączeń kablowych pomiędzy detektorami a modułem głównym;</w:t>
      </w:r>
    </w:p>
    <w:p w14:paraId="29788786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system detekcji pieszego/rowerzysty musi zapewniać zasięg nie mniejszy niż 4m, musi również zapewniać detekcję kierunku poruszania się pieszego/rowerzysty, tzn. że system nie aktywuje się kiedy pieszy przechodzi wzdłuż przejścia oraz kiedy z niego schodzi, działa tylko i wyłącznie w momencie wkroczenia pieszego na przejście;</w:t>
      </w:r>
    </w:p>
    <w:p w14:paraId="0FF3DB7A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system detekcji nie może być wrażliwy na takie obiekty jak poruszające się gałęzie, liście, itp.,</w:t>
      </w:r>
    </w:p>
    <w:p w14:paraId="193788DA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system detekcji ruchu musi posiadać własne niezależne źródło zasilania;</w:t>
      </w:r>
    </w:p>
    <w:p w14:paraId="0289C926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system aktywnych elementów musi być w pełni niezależny od zewnętrznych źródeł energii i nie może wymagać zaprojektowania i budowy przyłączy energetycznych;</w:t>
      </w:r>
    </w:p>
    <w:p w14:paraId="7AF661E3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każdy zestaw aktywnych elementów musi być w pełni mobilny i konfigurowalny na potrzeby ewentualnej zmiany jego lokalizacji;</w:t>
      </w:r>
    </w:p>
    <w:p w14:paraId="59162C50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w każdym module muszą być zamontowane po 2 źródła światła o średnicy 5 cm każde po obu stronach modułów głównych, odległość między diodami LED 60 cm;</w:t>
      </w:r>
    </w:p>
    <w:p w14:paraId="42AEEABB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aktywne elementy muszą sygnalizować obecność pieszego/rowerzysty oczekującego na przejściu i pozostawać aktywne na czas potrzebny do pokonania całego przejścia przy prędkości 1,0 m/s;</w:t>
      </w:r>
    </w:p>
    <w:p w14:paraId="4B6FD077" w14:textId="77777777" w:rsidR="0017059F" w:rsidRDefault="0017059F" w:rsidP="0017059F">
      <w:pPr>
        <w:numPr>
          <w:ilvl w:val="0"/>
          <w:numId w:val="16"/>
        </w:numPr>
        <w:spacing w:line="276" w:lineRule="auto"/>
        <w:jc w:val="both"/>
        <w:rPr>
          <w:rFonts w:ascii="Arial" w:eastAsia="Arial" w:hAnsi="Arial"/>
          <w:sz w:val="22"/>
        </w:rPr>
      </w:pPr>
      <w:r w:rsidRPr="00766BF4">
        <w:rPr>
          <w:rFonts w:ascii="Arial" w:eastAsia="Arial" w:hAnsi="Arial"/>
          <w:sz w:val="22"/>
        </w:rPr>
        <w:t>sygnalizacja obecności pieszego musi być widoczna z minimum 500 m, i sygnalizować obecność dla obu kierunków ruchu, przy pomocy świateł ostrzegawczych koloru pomarańczowego lub żółtego,</w:t>
      </w:r>
    </w:p>
    <w:p w14:paraId="1B9D387A" w14:textId="3112D56F" w:rsidR="0017059F" w:rsidRDefault="0017059F" w:rsidP="0017059F">
      <w:pPr>
        <w:spacing w:line="276" w:lineRule="auto"/>
        <w:jc w:val="both"/>
        <w:rPr>
          <w:rFonts w:ascii="Arial" w:eastAsia="Arial" w:hAnsi="Arial"/>
          <w:sz w:val="22"/>
        </w:rPr>
        <w:sectPr w:rsidR="0017059F" w:rsidSect="0017059F">
          <w:pgSz w:w="11900" w:h="16838"/>
          <w:pgMar w:top="713" w:right="1127" w:bottom="1440" w:left="1416" w:header="0" w:footer="0" w:gutter="0"/>
          <w:cols w:space="0" w:equalWidth="0">
            <w:col w:w="9364"/>
          </w:cols>
          <w:docGrid w:linePitch="360"/>
        </w:sectPr>
      </w:pPr>
      <w:r w:rsidRPr="00766BF4">
        <w:rPr>
          <w:rFonts w:ascii="Arial" w:eastAsia="Arial" w:hAnsi="Arial"/>
          <w:sz w:val="22"/>
        </w:rPr>
        <w:t>system musi posiadać znak CE oraz spełniać następujące normy: PN EN 12352, PN-ETSI EN 300 220-1, PN-EN 60950- 1 oraz dyrektywy Unii Europejskiej: 2006/95/EC, 2002/95/EC, 2002/</w:t>
      </w:r>
      <w:r>
        <w:rPr>
          <w:rFonts w:ascii="Arial" w:eastAsia="Arial" w:hAnsi="Arial"/>
          <w:sz w:val="22"/>
        </w:rPr>
        <w:t>/EC,1999/519/EC</w:t>
      </w:r>
    </w:p>
    <w:p w14:paraId="2CFF5FAB" w14:textId="77777777" w:rsidR="0017059F" w:rsidRDefault="0017059F" w:rsidP="009278FE">
      <w:pPr>
        <w:spacing w:line="276" w:lineRule="auto"/>
        <w:jc w:val="both"/>
        <w:rPr>
          <w:rFonts w:ascii="Arial" w:eastAsia="Arial" w:hAnsi="Arial"/>
          <w:sz w:val="22"/>
        </w:rPr>
      </w:pPr>
    </w:p>
    <w:sectPr w:rsidR="0017059F" w:rsidSect="0017059F">
      <w:pgSz w:w="11900" w:h="16838"/>
      <w:pgMar w:top="713" w:right="1127" w:bottom="1440" w:left="1420" w:header="0" w:footer="0" w:gutter="0"/>
      <w:cols w:space="0" w:equalWidth="0">
        <w:col w:w="93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8EAC7" w14:textId="77777777" w:rsidR="00D31A67" w:rsidRDefault="00D31A67" w:rsidP="009278FE">
      <w:r>
        <w:separator/>
      </w:r>
    </w:p>
  </w:endnote>
  <w:endnote w:type="continuationSeparator" w:id="0">
    <w:p w14:paraId="2456FDC5" w14:textId="77777777" w:rsidR="00D31A67" w:rsidRDefault="00D31A67" w:rsidP="0092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96931" w14:textId="77777777" w:rsidR="00D31A67" w:rsidRDefault="00D31A67" w:rsidP="009278FE">
      <w:r>
        <w:separator/>
      </w:r>
    </w:p>
  </w:footnote>
  <w:footnote w:type="continuationSeparator" w:id="0">
    <w:p w14:paraId="07ACE48C" w14:textId="77777777" w:rsidR="00D31A67" w:rsidRDefault="00D31A67" w:rsidP="00927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4C8A6" w14:textId="77777777" w:rsidR="00B60C99" w:rsidRDefault="00000000" w:rsidP="00B60C99">
    <w:pPr>
      <w:spacing w:line="234" w:lineRule="auto"/>
      <w:ind w:right="16"/>
      <w:jc w:val="center"/>
      <w:rPr>
        <w:rFonts w:ascii="Arial" w:eastAsia="Arial" w:hAnsi="Arial"/>
        <w:i/>
        <w:sz w:val="22"/>
      </w:rPr>
    </w:pPr>
  </w:p>
  <w:p w14:paraId="43B26404" w14:textId="77777777" w:rsidR="00FC3D55" w:rsidRDefault="00000000" w:rsidP="00B60C99">
    <w:pPr>
      <w:spacing w:line="234" w:lineRule="auto"/>
      <w:ind w:right="16"/>
      <w:jc w:val="center"/>
      <w:rPr>
        <w:rFonts w:ascii="Arial" w:eastAsia="Arial" w:hAnsi="Arial"/>
        <w:i/>
        <w:sz w:val="22"/>
      </w:rPr>
    </w:pPr>
  </w:p>
  <w:p w14:paraId="2DB3D3E2" w14:textId="77777777" w:rsidR="00B60C99" w:rsidRDefault="00000000" w:rsidP="00B60C99">
    <w:pPr>
      <w:spacing w:line="234" w:lineRule="auto"/>
      <w:ind w:right="16"/>
      <w:jc w:val="center"/>
      <w:rPr>
        <w:rFonts w:ascii="Arial" w:eastAsia="Arial" w:hAnsi="Arial"/>
        <w:i/>
        <w:sz w:val="22"/>
      </w:rPr>
    </w:pPr>
    <w:r>
      <w:rPr>
        <w:rFonts w:ascii="Arial" w:eastAsia="Arial" w:hAnsi="Arial"/>
        <w:i/>
        <w:sz w:val="22"/>
      </w:rPr>
      <w:t>Wytyczne do oznakowania pionowego, poziomego oraz u</w:t>
    </w:r>
    <w:r>
      <w:rPr>
        <w:rFonts w:ascii="Arial" w:eastAsia="Arial" w:hAnsi="Arial"/>
        <w:i/>
        <w:sz w:val="22"/>
      </w:rPr>
      <w:t>rządzeń</w:t>
    </w:r>
    <w:r>
      <w:rPr>
        <w:rFonts w:ascii="Arial" w:eastAsia="Arial" w:hAnsi="Arial"/>
        <w:i/>
        <w:sz w:val="22"/>
      </w:rPr>
      <w:t xml:space="preserve"> b</w:t>
    </w:r>
    <w:r>
      <w:rPr>
        <w:rFonts w:ascii="Arial" w:eastAsia="Arial" w:hAnsi="Arial"/>
        <w:i/>
        <w:sz w:val="22"/>
      </w:rPr>
      <w:t>ezpieczeństwa</w:t>
    </w:r>
    <w:r>
      <w:rPr>
        <w:rFonts w:ascii="Arial" w:eastAsia="Arial" w:hAnsi="Arial"/>
        <w:i/>
        <w:sz w:val="22"/>
      </w:rPr>
      <w:t xml:space="preserve"> ruchu </w:t>
    </w:r>
    <w:r>
      <w:rPr>
        <w:rFonts w:ascii="Arial" w:eastAsia="Arial" w:hAnsi="Arial"/>
        <w:i/>
        <w:sz w:val="22"/>
      </w:rPr>
      <w:t>stosowanych przez ZDM Poznań.</w:t>
    </w:r>
  </w:p>
  <w:p w14:paraId="66D44430" w14:textId="77777777" w:rsidR="00B60C99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7545E14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15F007C"/>
    <w:lvl w:ilvl="0" w:tplc="FFFFFFFF">
      <w:start w:val="1"/>
      <w:numFmt w:val="decimal"/>
      <w:lvlText w:val="%1"/>
      <w:lvlJc w:val="left"/>
    </w:lvl>
    <w:lvl w:ilvl="1" w:tplc="FFFFFFFF">
      <w:start w:val="35"/>
      <w:numFmt w:val="upperLetter"/>
      <w:lvlText w:val="%2.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DB127F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0216231A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1F16E9E8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1190CDE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66EF438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C"/>
    <w:multiLevelType w:val="hybridMultilevel"/>
    <w:tmpl w:val="109CF92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D"/>
    <w:multiLevelType w:val="hybridMultilevel"/>
    <w:tmpl w:val="0DED726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E"/>
    <w:multiLevelType w:val="hybridMultilevel"/>
    <w:tmpl w:val="7FDCC23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1997184"/>
    <w:multiLevelType w:val="hybridMultilevel"/>
    <w:tmpl w:val="2994940C"/>
    <w:lvl w:ilvl="0" w:tplc="0415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2" w15:restartNumberingAfterBreak="0">
    <w:nsid w:val="12336DBF"/>
    <w:multiLevelType w:val="hybridMultilevel"/>
    <w:tmpl w:val="2CE0D554"/>
    <w:lvl w:ilvl="0" w:tplc="0415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3" w15:restartNumberingAfterBreak="0">
    <w:nsid w:val="13C636AB"/>
    <w:multiLevelType w:val="hybridMultilevel"/>
    <w:tmpl w:val="FEF22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F444F"/>
    <w:multiLevelType w:val="hybridMultilevel"/>
    <w:tmpl w:val="8F0E86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1653D"/>
    <w:multiLevelType w:val="hybridMultilevel"/>
    <w:tmpl w:val="651439C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57260D9"/>
    <w:multiLevelType w:val="hybridMultilevel"/>
    <w:tmpl w:val="54245D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246589"/>
    <w:multiLevelType w:val="hybridMultilevel"/>
    <w:tmpl w:val="044E8C76"/>
    <w:lvl w:ilvl="0" w:tplc="0415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8" w15:restartNumberingAfterBreak="0">
    <w:nsid w:val="556B3C2A"/>
    <w:multiLevelType w:val="hybridMultilevel"/>
    <w:tmpl w:val="C74C3A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8864DC"/>
    <w:multiLevelType w:val="hybridMultilevel"/>
    <w:tmpl w:val="4E7E91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826038">
    <w:abstractNumId w:val="0"/>
  </w:num>
  <w:num w:numId="2" w16cid:durableId="909920226">
    <w:abstractNumId w:val="1"/>
  </w:num>
  <w:num w:numId="3" w16cid:durableId="2130196299">
    <w:abstractNumId w:val="2"/>
  </w:num>
  <w:num w:numId="4" w16cid:durableId="15887560">
    <w:abstractNumId w:val="3"/>
  </w:num>
  <w:num w:numId="5" w16cid:durableId="161506603">
    <w:abstractNumId w:val="4"/>
  </w:num>
  <w:num w:numId="6" w16cid:durableId="1730377342">
    <w:abstractNumId w:val="5"/>
  </w:num>
  <w:num w:numId="7" w16cid:durableId="58670721">
    <w:abstractNumId w:val="6"/>
  </w:num>
  <w:num w:numId="8" w16cid:durableId="622544991">
    <w:abstractNumId w:val="7"/>
  </w:num>
  <w:num w:numId="9" w16cid:durableId="832990642">
    <w:abstractNumId w:val="8"/>
  </w:num>
  <w:num w:numId="10" w16cid:durableId="502162522">
    <w:abstractNumId w:val="9"/>
  </w:num>
  <w:num w:numId="11" w16cid:durableId="743376738">
    <w:abstractNumId w:val="10"/>
  </w:num>
  <w:num w:numId="12" w16cid:durableId="1973703622">
    <w:abstractNumId w:val="12"/>
  </w:num>
  <w:num w:numId="13" w16cid:durableId="460922001">
    <w:abstractNumId w:val="11"/>
  </w:num>
  <w:num w:numId="14" w16cid:durableId="625089523">
    <w:abstractNumId w:val="17"/>
  </w:num>
  <w:num w:numId="15" w16cid:durableId="1886677953">
    <w:abstractNumId w:val="19"/>
  </w:num>
  <w:num w:numId="16" w16cid:durableId="294944558">
    <w:abstractNumId w:val="13"/>
  </w:num>
  <w:num w:numId="17" w16cid:durableId="1898781625">
    <w:abstractNumId w:val="14"/>
  </w:num>
  <w:num w:numId="18" w16cid:durableId="1345933168">
    <w:abstractNumId w:val="16"/>
  </w:num>
  <w:num w:numId="19" w16cid:durableId="1329672433">
    <w:abstractNumId w:val="15"/>
  </w:num>
  <w:num w:numId="20" w16cid:durableId="15305324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9F"/>
    <w:rsid w:val="0017059F"/>
    <w:rsid w:val="009278FE"/>
    <w:rsid w:val="0099458A"/>
    <w:rsid w:val="00D31A67"/>
    <w:rsid w:val="00E25E80"/>
    <w:rsid w:val="00E5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6C6E6"/>
  <w15:chartTrackingRefBased/>
  <w15:docId w15:val="{099958F2-D74F-4DE2-91F4-CA2390770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59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5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059F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7059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278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8FE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3091</Words>
  <Characters>18550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Metera</dc:creator>
  <cp:keywords/>
  <dc:description/>
  <cp:lastModifiedBy>Monika Metera</cp:lastModifiedBy>
  <cp:revision>1</cp:revision>
  <dcterms:created xsi:type="dcterms:W3CDTF">2023-02-28T08:38:00Z</dcterms:created>
  <dcterms:modified xsi:type="dcterms:W3CDTF">2023-02-28T08:54:00Z</dcterms:modified>
</cp:coreProperties>
</file>