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7E" w:rsidRPr="00EA34AD" w:rsidRDefault="0023027E">
      <w:pPr>
        <w:rPr>
          <w:sz w:val="20"/>
        </w:rPr>
      </w:pPr>
    </w:p>
    <w:p w:rsidR="00EA34AD" w:rsidRPr="00EA34AD" w:rsidRDefault="00EA34AD" w:rsidP="00EA34AD">
      <w:pPr>
        <w:jc w:val="center"/>
        <w:rPr>
          <w:b/>
          <w:bCs/>
          <w:sz w:val="24"/>
          <w:szCs w:val="24"/>
        </w:rPr>
      </w:pPr>
      <w:r w:rsidRPr="00EA34AD">
        <w:rPr>
          <w:b/>
          <w:bCs/>
          <w:sz w:val="24"/>
          <w:szCs w:val="24"/>
        </w:rPr>
        <w:t>ZAKRES RZECZOWY ZAMÓWIENIA</w:t>
      </w:r>
    </w:p>
    <w:p w:rsidR="00EA34AD" w:rsidRPr="00EA34AD" w:rsidRDefault="00EA34AD" w:rsidP="00EA34AD">
      <w:pPr>
        <w:jc w:val="center"/>
        <w:rPr>
          <w:b/>
          <w:bCs/>
          <w:sz w:val="24"/>
          <w:szCs w:val="24"/>
        </w:rPr>
      </w:pPr>
      <w:r w:rsidRPr="00EA34AD">
        <w:rPr>
          <w:b/>
          <w:bCs/>
          <w:sz w:val="24"/>
          <w:szCs w:val="24"/>
        </w:rPr>
        <w:t xml:space="preserve">ZADANIE NR </w:t>
      </w:r>
      <w:r w:rsidR="008B7493">
        <w:rPr>
          <w:b/>
          <w:bCs/>
          <w:sz w:val="24"/>
          <w:szCs w:val="24"/>
        </w:rPr>
        <w:t>3</w:t>
      </w:r>
      <w:r w:rsidRPr="00EA34AD">
        <w:rPr>
          <w:b/>
          <w:bCs/>
          <w:sz w:val="24"/>
          <w:szCs w:val="24"/>
        </w:rPr>
        <w:t xml:space="preserve"> – DOSTAWA </w:t>
      </w:r>
      <w:r w:rsidR="00046D28">
        <w:rPr>
          <w:b/>
          <w:bCs/>
          <w:sz w:val="24"/>
          <w:szCs w:val="24"/>
        </w:rPr>
        <w:t>SERW</w:t>
      </w:r>
      <w:r w:rsidR="009424AC">
        <w:rPr>
          <w:b/>
          <w:bCs/>
          <w:sz w:val="24"/>
          <w:szCs w:val="24"/>
        </w:rPr>
        <w:t>ERA NAS</w:t>
      </w:r>
      <w:r w:rsidR="00046D28">
        <w:rPr>
          <w:b/>
          <w:bCs/>
          <w:sz w:val="24"/>
          <w:szCs w:val="24"/>
        </w:rPr>
        <w:t xml:space="preserve"> </w:t>
      </w:r>
    </w:p>
    <w:p w:rsidR="00EA34AD" w:rsidRPr="00EA34AD" w:rsidRDefault="00EA34AD">
      <w:pPr>
        <w:rPr>
          <w:sz w:val="20"/>
        </w:rPr>
      </w:pPr>
    </w:p>
    <w:p w:rsidR="00657DE2" w:rsidRDefault="00EA34AD" w:rsidP="00657DE2">
      <w:pPr>
        <w:jc w:val="both"/>
        <w:rPr>
          <w:b/>
          <w:bCs/>
          <w:sz w:val="20"/>
        </w:rPr>
      </w:pPr>
      <w:r w:rsidRPr="00EA34AD">
        <w:rPr>
          <w:b/>
          <w:bCs/>
          <w:sz w:val="20"/>
        </w:rPr>
        <w:t>Dane oferowan</w:t>
      </w:r>
      <w:r w:rsidR="009424AC">
        <w:rPr>
          <w:b/>
          <w:bCs/>
          <w:sz w:val="20"/>
        </w:rPr>
        <w:t>ego</w:t>
      </w:r>
      <w:r w:rsidRPr="00EA34AD">
        <w:rPr>
          <w:b/>
          <w:bCs/>
          <w:sz w:val="20"/>
        </w:rPr>
        <w:t xml:space="preserve"> </w:t>
      </w:r>
      <w:r w:rsidR="00657DE2">
        <w:rPr>
          <w:b/>
          <w:bCs/>
          <w:sz w:val="20"/>
        </w:rPr>
        <w:t>serwe</w:t>
      </w:r>
      <w:r w:rsidR="009424AC">
        <w:rPr>
          <w:b/>
          <w:bCs/>
          <w:sz w:val="20"/>
        </w:rPr>
        <w:t>ra</w:t>
      </w:r>
      <w:r w:rsidRPr="00EA34AD">
        <w:rPr>
          <w:b/>
          <w:bCs/>
          <w:sz w:val="20"/>
        </w:rPr>
        <w:t xml:space="preserve"> </w:t>
      </w:r>
      <w:r w:rsidRPr="00EA34AD">
        <w:rPr>
          <w:i/>
          <w:iCs/>
          <w:sz w:val="20"/>
        </w:rPr>
        <w:t>(należy precyzyjnie wskazać producenta i model oferowa</w:t>
      </w:r>
      <w:r w:rsidR="00657DE2">
        <w:rPr>
          <w:i/>
          <w:iCs/>
          <w:sz w:val="20"/>
        </w:rPr>
        <w:t>n</w:t>
      </w:r>
      <w:r w:rsidR="009424AC">
        <w:rPr>
          <w:i/>
          <w:iCs/>
          <w:sz w:val="20"/>
        </w:rPr>
        <w:t>ego</w:t>
      </w:r>
      <w:r w:rsidR="00657DE2">
        <w:rPr>
          <w:i/>
          <w:iCs/>
          <w:sz w:val="20"/>
        </w:rPr>
        <w:t xml:space="preserve"> urządz</w:t>
      </w:r>
      <w:r w:rsidR="009424AC">
        <w:rPr>
          <w:i/>
          <w:iCs/>
          <w:sz w:val="20"/>
        </w:rPr>
        <w:t>enia</w:t>
      </w:r>
      <w:r w:rsidRPr="00EA34AD">
        <w:rPr>
          <w:i/>
          <w:iCs/>
          <w:sz w:val="20"/>
        </w:rPr>
        <w:t>)</w:t>
      </w:r>
      <w:r w:rsidRPr="00EA34AD">
        <w:rPr>
          <w:b/>
          <w:bCs/>
          <w:sz w:val="20"/>
        </w:rPr>
        <w:t xml:space="preserve">: </w:t>
      </w:r>
    </w:p>
    <w:p w:rsidR="00657DE2" w:rsidRDefault="00657DE2" w:rsidP="00657DE2">
      <w:pPr>
        <w:ind w:firstLine="708"/>
        <w:rPr>
          <w:b/>
          <w:bCs/>
          <w:sz w:val="20"/>
        </w:rPr>
      </w:pPr>
    </w:p>
    <w:p w:rsidR="00EA34AD" w:rsidRDefault="00657DE2" w:rsidP="00657DE2">
      <w:pPr>
        <w:ind w:firstLine="708"/>
        <w:rPr>
          <w:b/>
          <w:bCs/>
          <w:sz w:val="20"/>
        </w:rPr>
      </w:pPr>
      <w:r>
        <w:rPr>
          <w:b/>
          <w:bCs/>
          <w:sz w:val="20"/>
        </w:rPr>
        <w:t xml:space="preserve">Serwer </w:t>
      </w:r>
      <w:r w:rsidR="009424AC">
        <w:rPr>
          <w:b/>
          <w:bCs/>
          <w:sz w:val="20"/>
        </w:rPr>
        <w:t>NAS</w:t>
      </w:r>
      <w:r>
        <w:rPr>
          <w:b/>
          <w:bCs/>
          <w:sz w:val="20"/>
        </w:rPr>
        <w:t xml:space="preserve">: </w:t>
      </w:r>
      <w:r w:rsidR="00EA34AD" w:rsidRPr="00EA34AD">
        <w:rPr>
          <w:b/>
          <w:bCs/>
          <w:sz w:val="20"/>
        </w:rPr>
        <w:t>…………………………………………………………………………</w:t>
      </w:r>
      <w:r w:rsidR="00EA34AD">
        <w:rPr>
          <w:b/>
          <w:bCs/>
          <w:sz w:val="20"/>
        </w:rPr>
        <w:t xml:space="preserve"> </w:t>
      </w:r>
    </w:p>
    <w:p w:rsidR="00EA34AD" w:rsidRDefault="00EA34AD">
      <w:pPr>
        <w:rPr>
          <w:i/>
          <w:iCs/>
          <w:sz w:val="20"/>
        </w:rPr>
      </w:pPr>
    </w:p>
    <w:p w:rsidR="00EA34AD" w:rsidRPr="009E1BC9" w:rsidRDefault="00EA34AD">
      <w:pPr>
        <w:rPr>
          <w:b/>
          <w:bCs/>
          <w:i/>
          <w:iCs/>
          <w:sz w:val="20"/>
        </w:rPr>
      </w:pPr>
      <w:r w:rsidRPr="009E1BC9">
        <w:rPr>
          <w:b/>
          <w:bCs/>
          <w:i/>
          <w:iCs/>
          <w:sz w:val="20"/>
        </w:rPr>
        <w:t>UWAGA: niepodanie powyższych danych będzie skutkować odrzuceniem oferty.</w:t>
      </w:r>
    </w:p>
    <w:p w:rsidR="00EA34AD" w:rsidRPr="008C5DD8" w:rsidRDefault="00EA34AD">
      <w:pPr>
        <w:rPr>
          <w:sz w:val="20"/>
        </w:rPr>
      </w:pPr>
      <w:bookmarkStart w:id="0" w:name="_GoBack"/>
      <w:bookmarkEnd w:id="0"/>
    </w:p>
    <w:p w:rsidR="00900F23" w:rsidRDefault="00900F23" w:rsidP="009424AC">
      <w:pPr>
        <w:spacing w:before="100" w:beforeAutospacing="1" w:after="100" w:afterAutospacing="1"/>
        <w:contextualSpacing/>
        <w:jc w:val="both"/>
        <w:rPr>
          <w:rFonts w:cstheme="minorHAnsi"/>
          <w:b/>
          <w:sz w:val="20"/>
        </w:rPr>
      </w:pPr>
    </w:p>
    <w:p w:rsidR="00900F23" w:rsidRDefault="00900F23" w:rsidP="009424AC">
      <w:pPr>
        <w:spacing w:before="100" w:beforeAutospacing="1" w:after="100" w:afterAutospacing="1"/>
        <w:contextualSpacing/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Serwer NAS – 2 szt. </w:t>
      </w:r>
    </w:p>
    <w:p w:rsidR="00900F23" w:rsidRDefault="00900F23" w:rsidP="009424AC">
      <w:pPr>
        <w:spacing w:before="100" w:beforeAutospacing="1" w:after="100" w:afterAutospacing="1"/>
        <w:contextualSpacing/>
        <w:jc w:val="both"/>
        <w:rPr>
          <w:rFonts w:cstheme="minorHAnsi"/>
          <w:b/>
          <w:sz w:val="20"/>
        </w:rPr>
      </w:pPr>
    </w:p>
    <w:p w:rsidR="009424AC" w:rsidRPr="008C5DD8" w:rsidRDefault="009424AC" w:rsidP="009424AC">
      <w:pPr>
        <w:spacing w:before="100" w:beforeAutospacing="1" w:after="100" w:afterAutospacing="1"/>
        <w:contextualSpacing/>
        <w:jc w:val="both"/>
        <w:rPr>
          <w:rFonts w:cstheme="minorHAnsi"/>
          <w:b/>
          <w:sz w:val="20"/>
        </w:rPr>
      </w:pPr>
      <w:r w:rsidRPr="00DC2AE3">
        <w:rPr>
          <w:rFonts w:cstheme="minorHAnsi"/>
          <w:b/>
          <w:sz w:val="20"/>
        </w:rPr>
        <w:t>Serwer NAS kompatybilny z serwerem NAS TS-873AU-RP (możliwość konfiguracji synchronizacji</w:t>
      </w:r>
      <w:r w:rsidR="00DC2AE3" w:rsidRPr="00DC2AE3">
        <w:rPr>
          <w:rFonts w:cstheme="minorHAnsi"/>
          <w:b/>
          <w:sz w:val="20"/>
        </w:rPr>
        <w:t xml:space="preserve">, </w:t>
      </w:r>
      <w:r w:rsidRPr="00DC2AE3">
        <w:rPr>
          <w:rFonts w:cstheme="minorHAnsi"/>
          <w:b/>
          <w:sz w:val="20"/>
        </w:rPr>
        <w:t xml:space="preserve"> t</w:t>
      </w:r>
      <w:r w:rsidR="00DC2AE3" w:rsidRPr="00DC2AE3">
        <w:rPr>
          <w:rFonts w:cstheme="minorHAnsi"/>
          <w:b/>
          <w:sz w:val="20"/>
        </w:rPr>
        <w:t>zn.</w:t>
      </w:r>
      <w:r w:rsidRPr="00DC2AE3">
        <w:rPr>
          <w:rFonts w:cstheme="minorHAnsi"/>
          <w:b/>
          <w:sz w:val="20"/>
        </w:rPr>
        <w:t xml:space="preserve"> </w:t>
      </w:r>
      <w:r w:rsidR="00DC2AE3" w:rsidRPr="00DC2AE3">
        <w:rPr>
          <w:rFonts w:cstheme="minorHAnsi"/>
          <w:b/>
          <w:sz w:val="20"/>
        </w:rPr>
        <w:t>p</w:t>
      </w:r>
      <w:r w:rsidRPr="00DC2AE3">
        <w:rPr>
          <w:rFonts w:cstheme="minorHAnsi"/>
          <w:b/>
          <w:sz w:val="20"/>
        </w:rPr>
        <w:t>liki danych i migawek w wielu wersjach, tworzone przez główny serwer NAS</w:t>
      </w:r>
      <w:r w:rsidR="00DC2AE3" w:rsidRPr="00DC2AE3">
        <w:rPr>
          <w:rFonts w:cstheme="minorHAnsi"/>
          <w:b/>
          <w:sz w:val="20"/>
        </w:rPr>
        <w:t>,</w:t>
      </w:r>
      <w:r w:rsidRPr="00DC2AE3">
        <w:rPr>
          <w:rFonts w:cstheme="minorHAnsi"/>
          <w:b/>
          <w:sz w:val="20"/>
        </w:rPr>
        <w:t xml:space="preserve"> muszą być synchronizowane z dodatkowym serwerem NAS.</w:t>
      </w:r>
      <w:r w:rsidRPr="008C5DD8">
        <w:rPr>
          <w:rFonts w:cstheme="minorHAnsi"/>
          <w:b/>
          <w:sz w:val="20"/>
        </w:rPr>
        <w:t> </w:t>
      </w:r>
    </w:p>
    <w:p w:rsidR="009424AC" w:rsidRPr="008C5DD8" w:rsidRDefault="009424AC" w:rsidP="009424AC">
      <w:pPr>
        <w:spacing w:before="100" w:beforeAutospacing="1" w:after="100" w:afterAutospacing="1"/>
        <w:contextualSpacing/>
        <w:rPr>
          <w:rFonts w:cstheme="minorHAnsi"/>
          <w:b/>
          <w:sz w:val="20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7762"/>
      </w:tblGrid>
      <w:tr w:rsidR="009424AC" w:rsidRPr="008C5DD8" w:rsidTr="00DE47D7">
        <w:trPr>
          <w:trHeight w:val="499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Procesor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sz w:val="20"/>
              </w:rPr>
            </w:pPr>
            <w:r w:rsidRPr="008C5DD8">
              <w:rPr>
                <w:rFonts w:cstheme="minorHAnsi"/>
                <w:sz w:val="20"/>
              </w:rPr>
              <w:t xml:space="preserve">Czterordzeniowy o taktowaniu co najmniej 2,2 GHz 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Architektura procesora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rPr>
                <w:rFonts w:cstheme="minorHAnsi"/>
                <w:sz w:val="20"/>
              </w:rPr>
            </w:pPr>
            <w:r w:rsidRPr="008C5DD8">
              <w:rPr>
                <w:rFonts w:cstheme="minorHAnsi"/>
                <w:sz w:val="20"/>
              </w:rPr>
              <w:t xml:space="preserve">64-bitowy 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Koprocesor arytmetyczny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rPr>
                <w:rFonts w:cstheme="minorHAnsi"/>
                <w:sz w:val="20"/>
              </w:rPr>
            </w:pPr>
            <w:r w:rsidRPr="008C5DD8">
              <w:rPr>
                <w:rFonts w:cstheme="minorHAnsi"/>
                <w:sz w:val="20"/>
              </w:rPr>
              <w:t>Tak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Obudowa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proofErr w:type="spellStart"/>
            <w:r w:rsidRPr="008C5DD8">
              <w:rPr>
                <w:rFonts w:cstheme="minorHAnsi"/>
                <w:color w:val="000000"/>
                <w:sz w:val="20"/>
              </w:rPr>
              <w:t>Rack</w:t>
            </w:r>
            <w:proofErr w:type="spellEnd"/>
            <w:r w:rsidRPr="008C5DD8">
              <w:rPr>
                <w:rFonts w:cstheme="minorHAnsi"/>
                <w:color w:val="000000"/>
                <w:sz w:val="20"/>
              </w:rPr>
              <w:t xml:space="preserve"> 2U o wymiarach, 89(H) x 482(W) x 425(D) mm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Pamięć RAM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sz w:val="20"/>
              </w:rPr>
              <w:t>4GB UDIMM DDR4</w:t>
            </w:r>
            <w:r w:rsidRPr="008C5DD8">
              <w:rPr>
                <w:rFonts w:cstheme="minorHAnsi"/>
                <w:color w:val="000000"/>
                <w:sz w:val="20"/>
              </w:rPr>
              <w:t>, możliwość rozszerzenia pamięci RAM do 64GB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 xml:space="preserve">Pamięć </w:t>
            </w:r>
            <w:proofErr w:type="spellStart"/>
            <w:r w:rsidRPr="008C5DD8">
              <w:rPr>
                <w:rFonts w:cstheme="minorHAnsi"/>
                <w:color w:val="000000"/>
                <w:sz w:val="20"/>
              </w:rPr>
              <w:t>flash</w:t>
            </w:r>
            <w:proofErr w:type="spellEnd"/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rPr>
                <w:rFonts w:cstheme="minorHAnsi"/>
                <w:sz w:val="20"/>
              </w:rPr>
            </w:pPr>
            <w:r w:rsidRPr="008C5DD8">
              <w:rPr>
                <w:rFonts w:cstheme="minorHAnsi"/>
                <w:sz w:val="20"/>
              </w:rPr>
              <w:t>5GB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Ilość obsługiwanych dysków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8 dysków 3,5-calowych SATA 6Gb/s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Interfejsy sieciowe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2 x 2,</w:t>
            </w:r>
            <w:r w:rsidRPr="00DC2AE3">
              <w:rPr>
                <w:rFonts w:cstheme="minorHAnsi"/>
                <w:sz w:val="20"/>
              </w:rPr>
              <w:t xml:space="preserve">5GbE (RJ45), możliwość zamontowania dodatkowych portów sieciowych 5 </w:t>
            </w:r>
            <w:proofErr w:type="spellStart"/>
            <w:r w:rsidRPr="00DC2AE3">
              <w:rPr>
                <w:rFonts w:cstheme="minorHAnsi"/>
                <w:sz w:val="20"/>
              </w:rPr>
              <w:t>GbE</w:t>
            </w:r>
            <w:proofErr w:type="spellEnd"/>
            <w:r w:rsidRPr="00DC2AE3">
              <w:rPr>
                <w:rFonts w:cstheme="minorHAnsi"/>
                <w:sz w:val="20"/>
              </w:rPr>
              <w:t>, 10GbE poprzez dołożenie opcjonalnych kart.</w:t>
            </w:r>
          </w:p>
        </w:tc>
      </w:tr>
      <w:tr w:rsidR="009424AC" w:rsidRPr="008C5DD8" w:rsidTr="00DE47D7">
        <w:trPr>
          <w:trHeight w:val="57"/>
        </w:trPr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 xml:space="preserve">Gniazdo </w:t>
            </w:r>
          </w:p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proofErr w:type="spellStart"/>
            <w:r w:rsidRPr="008C5DD8">
              <w:rPr>
                <w:rFonts w:cstheme="minorHAnsi"/>
                <w:color w:val="000000"/>
                <w:sz w:val="20"/>
              </w:rPr>
              <w:t>PCIe</w:t>
            </w:r>
            <w:proofErr w:type="spellEnd"/>
            <w:r w:rsidRPr="008C5DD8">
              <w:rPr>
                <w:rFonts w:cstheme="minorHAnsi"/>
                <w:color w:val="000000"/>
                <w:sz w:val="20"/>
              </w:rPr>
              <w:t xml:space="preserve">  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spacing w:line="360" w:lineRule="atLeast"/>
              <w:rPr>
                <w:rFonts w:cstheme="minorHAnsi"/>
                <w:sz w:val="20"/>
              </w:rPr>
            </w:pPr>
            <w:r w:rsidRPr="008C5DD8">
              <w:rPr>
                <w:rFonts w:cstheme="minorHAnsi"/>
                <w:sz w:val="20"/>
              </w:rPr>
              <w:t xml:space="preserve">Gniazdo 1: </w:t>
            </w:r>
            <w:proofErr w:type="spellStart"/>
            <w:r w:rsidRPr="008C5DD8">
              <w:rPr>
                <w:rFonts w:cstheme="minorHAnsi"/>
                <w:sz w:val="20"/>
              </w:rPr>
              <w:t>PCIe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 Gen 3 x4</w:t>
            </w:r>
            <w:r w:rsidRPr="008C5DD8">
              <w:rPr>
                <w:rFonts w:cstheme="minorHAnsi"/>
                <w:sz w:val="20"/>
              </w:rPr>
              <w:br/>
              <w:t xml:space="preserve">Gniazdo 2: </w:t>
            </w:r>
            <w:proofErr w:type="spellStart"/>
            <w:r w:rsidRPr="008C5DD8">
              <w:rPr>
                <w:rFonts w:cstheme="minorHAnsi"/>
                <w:sz w:val="20"/>
              </w:rPr>
              <w:t>PCIe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 Gen 3 x4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sz w:val="20"/>
              </w:rPr>
            </w:pPr>
            <w:r w:rsidRPr="008C5DD8">
              <w:rPr>
                <w:rFonts w:cstheme="minorHAnsi"/>
                <w:sz w:val="20"/>
              </w:rPr>
              <w:t>Porty USB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sz w:val="20"/>
                <w:lang w:val="en-US"/>
              </w:rPr>
            </w:pPr>
            <w:r w:rsidRPr="008C5DD8">
              <w:rPr>
                <w:rFonts w:cstheme="minorHAnsi"/>
                <w:sz w:val="20"/>
                <w:lang w:val="en-US"/>
              </w:rPr>
              <w:t xml:space="preserve">2 x USB </w:t>
            </w:r>
            <w:proofErr w:type="spellStart"/>
            <w:r w:rsidRPr="008C5DD8">
              <w:rPr>
                <w:rFonts w:cstheme="minorHAnsi"/>
                <w:sz w:val="20"/>
                <w:lang w:val="en-US"/>
              </w:rPr>
              <w:t>Typu</w:t>
            </w:r>
            <w:proofErr w:type="spellEnd"/>
            <w:r w:rsidRPr="008C5DD8">
              <w:rPr>
                <w:rFonts w:cstheme="minorHAnsi"/>
                <w:sz w:val="20"/>
                <w:lang w:val="en-US"/>
              </w:rPr>
              <w:t>-C 3.2 Gen 2 (10Gb/s)</w:t>
            </w:r>
          </w:p>
          <w:p w:rsidR="009424AC" w:rsidRPr="008C5DD8" w:rsidRDefault="009424AC" w:rsidP="00DE47D7">
            <w:pPr>
              <w:rPr>
                <w:rFonts w:cstheme="minorHAnsi"/>
                <w:sz w:val="20"/>
                <w:lang w:val="en-US"/>
              </w:rPr>
            </w:pPr>
            <w:r w:rsidRPr="008C5DD8">
              <w:rPr>
                <w:rFonts w:cstheme="minorHAnsi"/>
                <w:sz w:val="20"/>
                <w:lang w:val="en-US"/>
              </w:rPr>
              <w:t xml:space="preserve">1 x USB </w:t>
            </w:r>
            <w:proofErr w:type="spellStart"/>
            <w:r w:rsidRPr="008C5DD8">
              <w:rPr>
                <w:rFonts w:cstheme="minorHAnsi"/>
                <w:sz w:val="20"/>
                <w:lang w:val="en-US"/>
              </w:rPr>
              <w:t>Typu</w:t>
            </w:r>
            <w:proofErr w:type="spellEnd"/>
            <w:r w:rsidRPr="008C5DD8">
              <w:rPr>
                <w:rFonts w:cstheme="minorHAnsi"/>
                <w:sz w:val="20"/>
                <w:lang w:val="en-US"/>
              </w:rPr>
              <w:t>-A 3.2 Gen 2 (10Gb/s)</w:t>
            </w:r>
          </w:p>
          <w:p w:rsidR="009424AC" w:rsidRPr="008C5DD8" w:rsidRDefault="009424AC" w:rsidP="00DE47D7">
            <w:pPr>
              <w:rPr>
                <w:rFonts w:cstheme="minorHAnsi"/>
                <w:sz w:val="20"/>
              </w:rPr>
            </w:pPr>
            <w:r w:rsidRPr="008C5DD8">
              <w:rPr>
                <w:rFonts w:cstheme="minorHAnsi"/>
                <w:sz w:val="20"/>
                <w:lang w:val="en-US"/>
              </w:rPr>
              <w:t xml:space="preserve">1 x </w:t>
            </w:r>
            <w:r w:rsidRPr="008C5DD8">
              <w:rPr>
                <w:rFonts w:cstheme="minorHAnsi"/>
                <w:sz w:val="20"/>
              </w:rPr>
              <w:t>USB Typu-A 3.2 Gen 1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Wskaźniki LED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sz w:val="20"/>
              </w:rPr>
            </w:pPr>
            <w:r w:rsidRPr="008C5DD8">
              <w:rPr>
                <w:rFonts w:cstheme="minorHAnsi"/>
                <w:sz w:val="20"/>
              </w:rPr>
              <w:t>HDD, Stan, LAN, USB, zasilanie</w:t>
            </w:r>
          </w:p>
        </w:tc>
      </w:tr>
      <w:tr w:rsidR="009424AC" w:rsidRPr="00E44556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Obsługa RAID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FF0000"/>
                <w:sz w:val="20"/>
                <w:lang w:val="en-US"/>
              </w:rPr>
            </w:pPr>
            <w:proofErr w:type="spellStart"/>
            <w:r w:rsidRPr="008C5DD8">
              <w:rPr>
                <w:rFonts w:cstheme="minorHAnsi"/>
                <w:sz w:val="20"/>
                <w:lang w:val="en-US"/>
              </w:rPr>
              <w:t>Pojedynczy</w:t>
            </w:r>
            <w:proofErr w:type="spellEnd"/>
            <w:r w:rsidRPr="008C5DD8">
              <w:rPr>
                <w:rFonts w:cstheme="minorHAnsi"/>
                <w:sz w:val="20"/>
                <w:lang w:val="en-US"/>
              </w:rPr>
              <w:t xml:space="preserve"> </w:t>
            </w:r>
            <w:proofErr w:type="spellStart"/>
            <w:r w:rsidRPr="008C5DD8">
              <w:rPr>
                <w:rFonts w:cstheme="minorHAnsi"/>
                <w:sz w:val="20"/>
                <w:lang w:val="en-US"/>
              </w:rPr>
              <w:t>dysk</w:t>
            </w:r>
            <w:proofErr w:type="spellEnd"/>
            <w:r w:rsidRPr="008C5DD8">
              <w:rPr>
                <w:rFonts w:cstheme="minorHAnsi"/>
                <w:sz w:val="20"/>
                <w:lang w:val="en-US"/>
              </w:rPr>
              <w:t xml:space="preserve">, JBOD, RAID 0, 1, 5, 6, 10, 50, 60, </w:t>
            </w:r>
            <w:proofErr w:type="spellStart"/>
            <w:r w:rsidRPr="008C5DD8">
              <w:rPr>
                <w:rFonts w:cstheme="minorHAnsi"/>
                <w:sz w:val="20"/>
                <w:lang w:val="en-US"/>
              </w:rPr>
              <w:t>Tripple</w:t>
            </w:r>
            <w:proofErr w:type="spellEnd"/>
            <w:r w:rsidRPr="008C5DD8">
              <w:rPr>
                <w:rFonts w:cstheme="minorHAnsi"/>
                <w:sz w:val="20"/>
                <w:lang w:val="en-US"/>
              </w:rPr>
              <w:t xml:space="preserve"> Mirror, </w:t>
            </w:r>
            <w:proofErr w:type="spellStart"/>
            <w:r w:rsidRPr="008C5DD8">
              <w:rPr>
                <w:rFonts w:cstheme="minorHAnsi"/>
                <w:sz w:val="20"/>
                <w:lang w:val="en-US"/>
              </w:rPr>
              <w:t>Tripple</w:t>
            </w:r>
            <w:proofErr w:type="spellEnd"/>
            <w:r w:rsidRPr="008C5DD8">
              <w:rPr>
                <w:rFonts w:cstheme="minorHAnsi"/>
                <w:sz w:val="20"/>
                <w:lang w:val="en-US"/>
              </w:rPr>
              <w:t xml:space="preserve"> Parity</w:t>
            </w:r>
          </w:p>
        </w:tc>
      </w:tr>
      <w:tr w:rsidR="009424AC" w:rsidRPr="00E44556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 xml:space="preserve">Funkcja Hot </w:t>
            </w:r>
            <w:proofErr w:type="spellStart"/>
            <w:r w:rsidRPr="008C5DD8">
              <w:rPr>
                <w:rFonts w:cstheme="minorHAnsi"/>
                <w:color w:val="000000"/>
                <w:sz w:val="20"/>
              </w:rPr>
              <w:t>Spare</w:t>
            </w:r>
            <w:proofErr w:type="spellEnd"/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rPr>
                <w:rFonts w:cstheme="minorHAnsi"/>
                <w:sz w:val="20"/>
                <w:lang w:val="de-LI"/>
              </w:rPr>
            </w:pPr>
            <w:r w:rsidRPr="008C5DD8">
              <w:rPr>
                <w:rFonts w:cstheme="minorHAnsi"/>
                <w:sz w:val="20"/>
                <w:lang w:val="de-LI"/>
              </w:rPr>
              <w:t>RAID Hot Spare and Global Hot Spare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Szyfrowanie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sz w:val="20"/>
              </w:rPr>
            </w:pPr>
            <w:r w:rsidRPr="008C5DD8">
              <w:rPr>
                <w:rFonts w:cstheme="minorHAnsi"/>
                <w:sz w:val="20"/>
              </w:rPr>
              <w:t>Możliwość szyfrowania folderów i wolumenów kluczem AES 256-bit.</w:t>
            </w:r>
          </w:p>
        </w:tc>
      </w:tr>
      <w:tr w:rsidR="009424AC" w:rsidRPr="00E44556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Wspierane Systemy Operacyjne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9424AC">
            <w:pPr>
              <w:pStyle w:val="Akapitzlist"/>
              <w:numPr>
                <w:ilvl w:val="0"/>
                <w:numId w:val="22"/>
              </w:numPr>
              <w:ind w:left="397" w:hanging="323"/>
              <w:contextualSpacing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8C5DD8">
              <w:rPr>
                <w:rFonts w:ascii="Arial Narrow" w:hAnsi="Arial Narrow" w:cstheme="minorHAnsi"/>
                <w:sz w:val="20"/>
                <w:szCs w:val="20"/>
              </w:rPr>
              <w:t xml:space="preserve">Apple Mac OS 10.10 </w:t>
            </w:r>
            <w:proofErr w:type="spellStart"/>
            <w:r w:rsidRPr="008C5DD8">
              <w:rPr>
                <w:rFonts w:ascii="Arial Narrow" w:hAnsi="Arial Narrow" w:cstheme="minorHAnsi"/>
                <w:sz w:val="20"/>
                <w:szCs w:val="20"/>
              </w:rPr>
              <w:t>or</w:t>
            </w:r>
            <w:proofErr w:type="spellEnd"/>
            <w:r w:rsidRPr="008C5DD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8C5DD8">
              <w:rPr>
                <w:rFonts w:ascii="Arial Narrow" w:hAnsi="Arial Narrow" w:cstheme="minorHAnsi"/>
                <w:sz w:val="20"/>
                <w:szCs w:val="20"/>
              </w:rPr>
              <w:t>later</w:t>
            </w:r>
            <w:proofErr w:type="spellEnd"/>
          </w:p>
          <w:p w:rsidR="009424AC" w:rsidRPr="008C5DD8" w:rsidRDefault="009424AC" w:rsidP="009424AC">
            <w:pPr>
              <w:pStyle w:val="Akapitzlist"/>
              <w:numPr>
                <w:ilvl w:val="0"/>
                <w:numId w:val="22"/>
              </w:numPr>
              <w:ind w:left="397" w:hanging="323"/>
              <w:contextualSpacing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8C5DD8">
              <w:rPr>
                <w:rFonts w:ascii="Arial Narrow" w:hAnsi="Arial Narrow" w:cstheme="minorHAnsi"/>
                <w:sz w:val="20"/>
                <w:szCs w:val="20"/>
                <w:lang w:val="de-LI"/>
              </w:rPr>
              <w:t xml:space="preserve">Ubuntu 14.04, </w:t>
            </w:r>
            <w:proofErr w:type="spellStart"/>
            <w:r w:rsidRPr="008C5DD8">
              <w:rPr>
                <w:rFonts w:ascii="Arial Narrow" w:hAnsi="Arial Narrow" w:cstheme="minorHAnsi"/>
                <w:sz w:val="20"/>
                <w:szCs w:val="20"/>
                <w:lang w:val="de-LI"/>
              </w:rPr>
              <w:t>CentOS</w:t>
            </w:r>
            <w:proofErr w:type="spellEnd"/>
            <w:r w:rsidRPr="008C5DD8">
              <w:rPr>
                <w:rFonts w:ascii="Arial Narrow" w:hAnsi="Arial Narrow" w:cstheme="minorHAnsi"/>
                <w:sz w:val="20"/>
                <w:szCs w:val="20"/>
                <w:lang w:val="de-LI"/>
              </w:rPr>
              <w:t xml:space="preserve"> 7, RHEL 6.6, SUSE 12 </w:t>
            </w:r>
            <w:proofErr w:type="spellStart"/>
            <w:r w:rsidRPr="008C5DD8">
              <w:rPr>
                <w:rFonts w:ascii="Arial Narrow" w:hAnsi="Arial Narrow" w:cstheme="minorHAnsi"/>
                <w:sz w:val="20"/>
                <w:szCs w:val="20"/>
                <w:lang w:val="de-LI"/>
              </w:rPr>
              <w:t>or</w:t>
            </w:r>
            <w:proofErr w:type="spellEnd"/>
            <w:r w:rsidRPr="008C5DD8">
              <w:rPr>
                <w:rFonts w:ascii="Arial Narrow" w:hAnsi="Arial Narrow" w:cstheme="minorHAnsi"/>
                <w:sz w:val="20"/>
                <w:szCs w:val="20"/>
                <w:lang w:val="de-LI"/>
              </w:rPr>
              <w:t xml:space="preserve"> </w:t>
            </w:r>
            <w:proofErr w:type="spellStart"/>
            <w:r w:rsidRPr="008C5DD8">
              <w:rPr>
                <w:rFonts w:ascii="Arial Narrow" w:hAnsi="Arial Narrow" w:cstheme="minorHAnsi"/>
                <w:sz w:val="20"/>
                <w:szCs w:val="20"/>
                <w:lang w:val="de-LI"/>
              </w:rPr>
              <w:t>later</w:t>
            </w:r>
            <w:proofErr w:type="spellEnd"/>
            <w:r w:rsidRPr="008C5DD8">
              <w:rPr>
                <w:rFonts w:ascii="Arial Narrow" w:hAnsi="Arial Narrow" w:cstheme="minorHAnsi"/>
                <w:sz w:val="20"/>
                <w:szCs w:val="20"/>
                <w:lang w:val="de-LI"/>
              </w:rPr>
              <w:t xml:space="preserve"> Linux</w:t>
            </w:r>
          </w:p>
          <w:p w:rsidR="009424AC" w:rsidRPr="008C5DD8" w:rsidRDefault="009424AC" w:rsidP="009424AC">
            <w:pPr>
              <w:pStyle w:val="Akapitzlist"/>
              <w:numPr>
                <w:ilvl w:val="0"/>
                <w:numId w:val="22"/>
              </w:numPr>
              <w:ind w:left="397" w:hanging="323"/>
              <w:contextualSpacing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8C5DD8">
              <w:rPr>
                <w:rFonts w:ascii="Arial Narrow" w:hAnsi="Arial Narrow" w:cstheme="minorHAnsi"/>
                <w:sz w:val="20"/>
                <w:szCs w:val="20"/>
                <w:lang w:val="de-LI"/>
              </w:rPr>
              <w:t xml:space="preserve">IBM AIX 7, Solaris 10 </w:t>
            </w:r>
            <w:proofErr w:type="spellStart"/>
            <w:r w:rsidRPr="008C5DD8">
              <w:rPr>
                <w:rFonts w:ascii="Arial Narrow" w:hAnsi="Arial Narrow" w:cstheme="minorHAnsi"/>
                <w:sz w:val="20"/>
                <w:szCs w:val="20"/>
                <w:lang w:val="de-LI"/>
              </w:rPr>
              <w:t>or</w:t>
            </w:r>
            <w:proofErr w:type="spellEnd"/>
            <w:r w:rsidRPr="008C5DD8">
              <w:rPr>
                <w:rFonts w:ascii="Arial Narrow" w:hAnsi="Arial Narrow" w:cstheme="minorHAnsi"/>
                <w:sz w:val="20"/>
                <w:szCs w:val="20"/>
                <w:lang w:val="de-LI"/>
              </w:rPr>
              <w:t xml:space="preserve"> </w:t>
            </w:r>
            <w:proofErr w:type="spellStart"/>
            <w:r w:rsidRPr="008C5DD8">
              <w:rPr>
                <w:rFonts w:ascii="Arial Narrow" w:hAnsi="Arial Narrow" w:cstheme="minorHAnsi"/>
                <w:sz w:val="20"/>
                <w:szCs w:val="20"/>
                <w:lang w:val="de-LI"/>
              </w:rPr>
              <w:t>later</w:t>
            </w:r>
            <w:proofErr w:type="spellEnd"/>
            <w:r w:rsidRPr="008C5DD8">
              <w:rPr>
                <w:rFonts w:ascii="Arial Narrow" w:hAnsi="Arial Narrow" w:cstheme="minorHAnsi"/>
                <w:sz w:val="20"/>
                <w:szCs w:val="20"/>
                <w:lang w:val="de-LI"/>
              </w:rPr>
              <w:t xml:space="preserve"> UNIX</w:t>
            </w:r>
          </w:p>
          <w:p w:rsidR="009424AC" w:rsidRPr="008C5DD8" w:rsidRDefault="009424AC" w:rsidP="009424AC">
            <w:pPr>
              <w:pStyle w:val="Akapitzlist"/>
              <w:numPr>
                <w:ilvl w:val="0"/>
                <w:numId w:val="22"/>
              </w:numPr>
              <w:ind w:left="397" w:hanging="323"/>
              <w:contextualSpacing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8C5DD8">
              <w:rPr>
                <w:rFonts w:ascii="Arial Narrow" w:hAnsi="Arial Narrow" w:cstheme="minorHAnsi"/>
                <w:sz w:val="20"/>
                <w:szCs w:val="20"/>
              </w:rPr>
              <w:t>Microsoft Windows 7, 8, and 10</w:t>
            </w:r>
          </w:p>
          <w:p w:rsidR="009424AC" w:rsidRPr="008C5DD8" w:rsidRDefault="009424AC" w:rsidP="009424AC">
            <w:pPr>
              <w:pStyle w:val="Akapitzlist"/>
              <w:numPr>
                <w:ilvl w:val="0"/>
                <w:numId w:val="22"/>
              </w:numPr>
              <w:ind w:left="397" w:hanging="323"/>
              <w:contextualSpacing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8C5DD8">
              <w:rPr>
                <w:rFonts w:ascii="Arial Narrow" w:hAnsi="Arial Narrow" w:cstheme="minorHAnsi"/>
                <w:sz w:val="20"/>
                <w:szCs w:val="20"/>
                <w:lang w:val="de-LI"/>
              </w:rPr>
              <w:t>Microsoft Windows Server 2008 R2, 2012, 2012 R2 and 2016, 2019</w:t>
            </w:r>
          </w:p>
        </w:tc>
      </w:tr>
      <w:tr w:rsidR="009424AC" w:rsidRPr="008C5DD8" w:rsidTr="000435EB">
        <w:trPr>
          <w:trHeight w:val="499"/>
        </w:trPr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Protokoły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 xml:space="preserve">CIFS, SMB, AFP, FTP, </w:t>
            </w:r>
            <w:proofErr w:type="spellStart"/>
            <w:r w:rsidRPr="008C5DD8">
              <w:rPr>
                <w:rFonts w:cstheme="minorHAnsi"/>
                <w:color w:val="000000"/>
                <w:sz w:val="20"/>
              </w:rPr>
              <w:t>WebDAV</w:t>
            </w:r>
            <w:proofErr w:type="spellEnd"/>
            <w:r w:rsidRPr="008C5DD8">
              <w:rPr>
                <w:rFonts w:cstheme="minorHAnsi"/>
                <w:color w:val="000000"/>
                <w:sz w:val="20"/>
              </w:rPr>
              <w:t xml:space="preserve">, </w:t>
            </w:r>
            <w:proofErr w:type="spellStart"/>
            <w:r w:rsidRPr="008C5DD8">
              <w:rPr>
                <w:rFonts w:cstheme="minorHAnsi"/>
                <w:color w:val="000000"/>
                <w:sz w:val="20"/>
              </w:rPr>
              <w:t>iSCSI</w:t>
            </w:r>
            <w:proofErr w:type="spellEnd"/>
            <w:r w:rsidRPr="008C5DD8">
              <w:rPr>
                <w:rFonts w:cstheme="minorHAnsi"/>
                <w:color w:val="000000"/>
                <w:sz w:val="20"/>
              </w:rPr>
              <w:t>, Telnet, SSH, SNMP</w:t>
            </w:r>
          </w:p>
          <w:p w:rsidR="00502A1E" w:rsidRPr="008C5DD8" w:rsidRDefault="00502A1E" w:rsidP="00DE47D7">
            <w:pPr>
              <w:rPr>
                <w:rFonts w:cstheme="minorHAnsi"/>
                <w:color w:val="000000"/>
                <w:sz w:val="20"/>
              </w:rPr>
            </w:pP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lastRenderedPageBreak/>
              <w:t>Usługi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 xml:space="preserve">Stacja monitoringu, Windows ACL, Serwer plików, Manager plików przez WWW, Obsługa plików QPKG, Funkcja Virtual Disk umożliwiająca zwiększenie pojemności serwera przy pomocy inicjatora </w:t>
            </w:r>
            <w:proofErr w:type="spellStart"/>
            <w:r w:rsidRPr="008C5DD8">
              <w:rPr>
                <w:rFonts w:cstheme="minorHAnsi"/>
                <w:color w:val="000000"/>
                <w:sz w:val="20"/>
              </w:rPr>
              <w:t>iSCSI</w:t>
            </w:r>
            <w:proofErr w:type="spellEnd"/>
            <w:r w:rsidRPr="008C5DD8">
              <w:rPr>
                <w:rFonts w:cstheme="minorHAnsi"/>
                <w:color w:val="000000"/>
                <w:sz w:val="20"/>
              </w:rPr>
              <w:t xml:space="preserve">, Montowanie obrazów ISO, Klient LDAP, Serwer </w:t>
            </w:r>
            <w:proofErr w:type="spellStart"/>
            <w:r w:rsidRPr="008C5DD8">
              <w:rPr>
                <w:rFonts w:cstheme="minorHAnsi"/>
                <w:color w:val="000000"/>
                <w:sz w:val="20"/>
              </w:rPr>
              <w:t>Syslog</w:t>
            </w:r>
            <w:proofErr w:type="spellEnd"/>
            <w:r w:rsidRPr="008C5DD8">
              <w:rPr>
                <w:rFonts w:cstheme="minorHAnsi"/>
                <w:color w:val="000000"/>
                <w:sz w:val="20"/>
              </w:rPr>
              <w:t xml:space="preserve">, </w:t>
            </w:r>
            <w:r w:rsidRPr="008C5DD8">
              <w:rPr>
                <w:rFonts w:cstheme="minorHAnsi"/>
                <w:sz w:val="20"/>
              </w:rPr>
              <w:t xml:space="preserve">Server VPN,  </w:t>
            </w:r>
            <w:r w:rsidRPr="008C5DD8">
              <w:rPr>
                <w:rFonts w:cstheme="minorHAnsi"/>
                <w:color w:val="000000"/>
                <w:sz w:val="20"/>
              </w:rPr>
              <w:t>Obsługa kontenerów (LXC, Docker), Funkcja migawek, Migawki (min. 1024)</w:t>
            </w:r>
          </w:p>
        </w:tc>
      </w:tr>
      <w:tr w:rsidR="009424AC" w:rsidRPr="00E44556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sz w:val="20"/>
              </w:rPr>
              <w:t>Wirtualizacja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rPr>
                <w:rFonts w:cstheme="minorHAnsi"/>
                <w:sz w:val="20"/>
              </w:rPr>
            </w:pPr>
            <w:r w:rsidRPr="008C5DD8">
              <w:rPr>
                <w:rFonts w:cstheme="minorHAnsi"/>
                <w:sz w:val="20"/>
              </w:rPr>
              <w:t>Certyfikaty:</w:t>
            </w:r>
          </w:p>
          <w:p w:rsidR="009424AC" w:rsidRPr="008C5DD8" w:rsidRDefault="009424AC" w:rsidP="00DE47D7">
            <w:pPr>
              <w:rPr>
                <w:rFonts w:cstheme="minorHAnsi"/>
                <w:sz w:val="20"/>
              </w:rPr>
            </w:pPr>
            <w:proofErr w:type="spellStart"/>
            <w:r w:rsidRPr="008C5DD8">
              <w:rPr>
                <w:rFonts w:cstheme="minorHAnsi"/>
                <w:sz w:val="20"/>
              </w:rPr>
              <w:t>VMware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 </w:t>
            </w:r>
            <w:proofErr w:type="spellStart"/>
            <w:r w:rsidRPr="008C5DD8">
              <w:rPr>
                <w:rFonts w:cstheme="minorHAnsi"/>
                <w:sz w:val="20"/>
              </w:rPr>
              <w:t>vSphere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: </w:t>
            </w:r>
            <w:proofErr w:type="spellStart"/>
            <w:r w:rsidRPr="008C5DD8">
              <w:rPr>
                <w:rFonts w:cstheme="minorHAnsi"/>
                <w:sz w:val="20"/>
              </w:rPr>
              <w:t>VMware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 </w:t>
            </w:r>
            <w:proofErr w:type="spellStart"/>
            <w:r w:rsidRPr="008C5DD8">
              <w:rPr>
                <w:rFonts w:cstheme="minorHAnsi"/>
                <w:sz w:val="20"/>
              </w:rPr>
              <w:t>ESXi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 6.7 &amp; 7.0 (</w:t>
            </w:r>
            <w:proofErr w:type="spellStart"/>
            <w:r w:rsidRPr="008C5DD8">
              <w:rPr>
                <w:rFonts w:cstheme="minorHAnsi"/>
                <w:sz w:val="20"/>
              </w:rPr>
              <w:t>iSCSI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), </w:t>
            </w:r>
            <w:proofErr w:type="spellStart"/>
            <w:r w:rsidRPr="008C5DD8">
              <w:rPr>
                <w:rFonts w:cstheme="minorHAnsi"/>
                <w:sz w:val="20"/>
              </w:rPr>
              <w:t>VMware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 </w:t>
            </w:r>
            <w:proofErr w:type="spellStart"/>
            <w:r w:rsidRPr="008C5DD8">
              <w:rPr>
                <w:rFonts w:cstheme="minorHAnsi"/>
                <w:sz w:val="20"/>
              </w:rPr>
              <w:t>ESXi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 6.7 &amp; 7.0 (NFS), </w:t>
            </w:r>
            <w:proofErr w:type="spellStart"/>
            <w:r w:rsidRPr="008C5DD8">
              <w:rPr>
                <w:rFonts w:cstheme="minorHAnsi"/>
                <w:sz w:val="20"/>
              </w:rPr>
              <w:t>VMware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 </w:t>
            </w:r>
            <w:proofErr w:type="spellStart"/>
            <w:r w:rsidRPr="008C5DD8">
              <w:rPr>
                <w:rFonts w:cstheme="minorHAnsi"/>
                <w:sz w:val="20"/>
              </w:rPr>
              <w:t>ESXi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 6.7 &amp; 7.0 (VAAI </w:t>
            </w:r>
            <w:proofErr w:type="spellStart"/>
            <w:r w:rsidRPr="008C5DD8">
              <w:rPr>
                <w:rFonts w:cstheme="minorHAnsi"/>
                <w:sz w:val="20"/>
              </w:rPr>
              <w:t>iSCSI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), </w:t>
            </w:r>
            <w:proofErr w:type="spellStart"/>
            <w:r w:rsidRPr="008C5DD8">
              <w:rPr>
                <w:rFonts w:cstheme="minorHAnsi"/>
                <w:sz w:val="20"/>
              </w:rPr>
              <w:t>VMware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 </w:t>
            </w:r>
            <w:proofErr w:type="spellStart"/>
            <w:r w:rsidRPr="008C5DD8">
              <w:rPr>
                <w:rFonts w:cstheme="minorHAnsi"/>
                <w:sz w:val="20"/>
              </w:rPr>
              <w:t>ESXi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 6.7 &amp; 7.0 (VAAI NFS), </w:t>
            </w:r>
            <w:proofErr w:type="spellStart"/>
            <w:r w:rsidRPr="008C5DD8">
              <w:rPr>
                <w:rFonts w:cstheme="minorHAnsi"/>
                <w:sz w:val="20"/>
              </w:rPr>
              <w:t>VMware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 </w:t>
            </w:r>
            <w:proofErr w:type="spellStart"/>
            <w:r w:rsidRPr="008C5DD8">
              <w:rPr>
                <w:rFonts w:cstheme="minorHAnsi"/>
                <w:sz w:val="20"/>
              </w:rPr>
              <w:t>ESXi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 6.7 &amp; 7.0 (</w:t>
            </w:r>
            <w:proofErr w:type="spellStart"/>
            <w:r w:rsidRPr="008C5DD8">
              <w:rPr>
                <w:rFonts w:cstheme="minorHAnsi"/>
                <w:sz w:val="20"/>
              </w:rPr>
              <w:t>Fibre</w:t>
            </w:r>
            <w:proofErr w:type="spellEnd"/>
            <w:r w:rsidRPr="008C5DD8">
              <w:rPr>
                <w:rFonts w:cstheme="minorHAnsi"/>
                <w:sz w:val="20"/>
              </w:rPr>
              <w:t xml:space="preserve"> Channel)</w:t>
            </w:r>
          </w:p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  <w:lang w:val="de-LI"/>
              </w:rPr>
            </w:pPr>
            <w:r w:rsidRPr="008C5DD8">
              <w:rPr>
                <w:rFonts w:cstheme="minorHAnsi"/>
                <w:sz w:val="20"/>
                <w:lang w:val="de-LI"/>
              </w:rPr>
              <w:t xml:space="preserve">Microsoft Hyper-V: Windows Server 2019, Citrix </w:t>
            </w:r>
            <w:proofErr w:type="spellStart"/>
            <w:r w:rsidRPr="008C5DD8">
              <w:rPr>
                <w:rFonts w:cstheme="minorHAnsi"/>
                <w:sz w:val="20"/>
                <w:lang w:val="de-LI"/>
              </w:rPr>
              <w:t>XenServer</w:t>
            </w:r>
            <w:proofErr w:type="spellEnd"/>
            <w:r w:rsidRPr="008C5DD8">
              <w:rPr>
                <w:rFonts w:cstheme="minorHAnsi"/>
                <w:sz w:val="20"/>
                <w:lang w:val="de-LI"/>
              </w:rPr>
              <w:t>: Citrix Ready 8.x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Zarządzanie dyskami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 xml:space="preserve">Skanowanie w poszukiwaniu złych sektorów, odczyt S.M.A.R.T 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Język GUI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Polski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Pobór mocy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  <w:lang w:val="en-US"/>
              </w:rPr>
            </w:pPr>
            <w:r w:rsidRPr="008C5DD8">
              <w:rPr>
                <w:rFonts w:cstheme="minorHAnsi"/>
                <w:color w:val="262222"/>
                <w:sz w:val="20"/>
                <w:shd w:val="clear" w:color="auto" w:fill="FFFFFF"/>
              </w:rPr>
              <w:t>Praca: maksymalnie 80 W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System plików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ind w:left="708" w:hanging="708"/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Dyski wewnętrzne ZFS lub EXT4.</w:t>
            </w:r>
          </w:p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Dyski zewnętrzne EXT3, EXT4, NTFS,FAT32,HFS+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Funkcje ZFS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ind w:left="708" w:hanging="708"/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 xml:space="preserve">Liniowa </w:t>
            </w:r>
            <w:proofErr w:type="spellStart"/>
            <w:r w:rsidRPr="008C5DD8">
              <w:rPr>
                <w:rFonts w:cstheme="minorHAnsi"/>
                <w:color w:val="000000"/>
                <w:sz w:val="20"/>
              </w:rPr>
              <w:t>deduplikacja</w:t>
            </w:r>
            <w:proofErr w:type="spellEnd"/>
            <w:r w:rsidRPr="008C5DD8">
              <w:rPr>
                <w:rFonts w:cstheme="minorHAnsi"/>
                <w:color w:val="000000"/>
                <w:sz w:val="20"/>
              </w:rPr>
              <w:t>, kompresja i kompakcja, Cache odczytu &amp; ZIL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Zasilanie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Redundantne (2x 300W)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Wentylatory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 xml:space="preserve">Min. 2 x 80 mm </w:t>
            </w:r>
          </w:p>
        </w:tc>
      </w:tr>
      <w:tr w:rsidR="009424AC" w:rsidRPr="008C5DD8" w:rsidTr="00DE47D7">
        <w:trPr>
          <w:trHeight w:val="49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Dyski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 xml:space="preserve">8 </w:t>
            </w:r>
            <w:proofErr w:type="spellStart"/>
            <w:r w:rsidRPr="008C5DD8">
              <w:rPr>
                <w:rFonts w:cstheme="minorHAnsi"/>
                <w:color w:val="000000"/>
                <w:sz w:val="20"/>
              </w:rPr>
              <w:t>szt</w:t>
            </w:r>
            <w:proofErr w:type="spellEnd"/>
            <w:r w:rsidRPr="008C5DD8">
              <w:rPr>
                <w:rFonts w:cstheme="minorHAnsi"/>
                <w:color w:val="000000"/>
                <w:sz w:val="20"/>
              </w:rPr>
              <w:t xml:space="preserve"> dysków o pojemności 8TB </w:t>
            </w:r>
          </w:p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Niezawodność MTBF ; 1 200 000 godz.</w:t>
            </w:r>
          </w:p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r w:rsidRPr="008C5DD8">
              <w:rPr>
                <w:rFonts w:cstheme="minorHAnsi"/>
                <w:color w:val="000000"/>
                <w:sz w:val="20"/>
              </w:rPr>
              <w:t>Dyski muszą być kompatybilne z zaoferowanym urządzeniem typu NAS tz</w:t>
            </w:r>
            <w:r w:rsidR="00DC2AE3">
              <w:rPr>
                <w:rFonts w:cstheme="minorHAnsi"/>
                <w:color w:val="000000"/>
                <w:sz w:val="20"/>
              </w:rPr>
              <w:t>n. m</w:t>
            </w:r>
            <w:r w:rsidRPr="008C5DD8">
              <w:rPr>
                <w:rFonts w:cstheme="minorHAnsi"/>
                <w:color w:val="000000"/>
                <w:sz w:val="20"/>
              </w:rPr>
              <w:t>uszą być opublikowane na liście kompatybilności producenta Serwera NAS</w:t>
            </w:r>
          </w:p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</w:p>
        </w:tc>
      </w:tr>
      <w:tr w:rsidR="009424AC" w:rsidRPr="008C5DD8" w:rsidTr="00DE47D7">
        <w:trPr>
          <w:trHeight w:val="87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AC" w:rsidRPr="008C5DD8" w:rsidRDefault="009424AC" w:rsidP="00DE47D7">
            <w:pPr>
              <w:rPr>
                <w:rFonts w:cstheme="minorHAnsi"/>
                <w:color w:val="000000"/>
                <w:sz w:val="20"/>
              </w:rPr>
            </w:pPr>
            <w:bookmarkStart w:id="1" w:name="_Hlk66865327"/>
            <w:r w:rsidRPr="008C5DD8">
              <w:rPr>
                <w:rFonts w:cstheme="minorHAnsi"/>
                <w:color w:val="000000"/>
                <w:sz w:val="20"/>
              </w:rPr>
              <w:t>Gwarancja i serwis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AC" w:rsidRPr="008C5DD8" w:rsidRDefault="00372C19" w:rsidP="00DE47D7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 xml:space="preserve">Co najmniej </w:t>
            </w:r>
            <w:r w:rsidR="009424AC" w:rsidRPr="008C5DD8">
              <w:rPr>
                <w:rFonts w:cstheme="minorHAnsi"/>
                <w:color w:val="000000"/>
                <w:sz w:val="20"/>
              </w:rPr>
              <w:t>36 miesięcy</w:t>
            </w:r>
          </w:p>
        </w:tc>
      </w:tr>
      <w:bookmarkEnd w:id="1"/>
    </w:tbl>
    <w:p w:rsidR="00046D28" w:rsidRPr="008C5DD8" w:rsidRDefault="00046D28">
      <w:pPr>
        <w:rPr>
          <w:sz w:val="20"/>
        </w:rPr>
      </w:pPr>
    </w:p>
    <w:sectPr w:rsidR="00046D28" w:rsidRPr="008C5D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AD" w:rsidRDefault="00EA34AD" w:rsidP="00EA34AD">
      <w:r>
        <w:separator/>
      </w:r>
    </w:p>
  </w:endnote>
  <w:endnote w:type="continuationSeparator" w:id="0">
    <w:p w:rsidR="00EA34AD" w:rsidRDefault="00EA34AD" w:rsidP="00E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439740"/>
      <w:docPartObj>
        <w:docPartGallery w:val="Page Numbers (Bottom of Page)"/>
        <w:docPartUnique/>
      </w:docPartObj>
    </w:sdtPr>
    <w:sdtEndPr/>
    <w:sdtContent>
      <w:p w:rsidR="00502A1E" w:rsidRDefault="00502A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5EB">
          <w:rPr>
            <w:noProof/>
          </w:rPr>
          <w:t>2</w:t>
        </w:r>
        <w:r>
          <w:fldChar w:fldCharType="end"/>
        </w:r>
      </w:p>
    </w:sdtContent>
  </w:sdt>
  <w:p w:rsidR="00502A1E" w:rsidRDefault="00502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AD" w:rsidRDefault="00EA34AD" w:rsidP="00EA34AD">
      <w:r>
        <w:separator/>
      </w:r>
    </w:p>
  </w:footnote>
  <w:footnote w:type="continuationSeparator" w:id="0">
    <w:p w:rsidR="00EA34AD" w:rsidRDefault="00EA34AD" w:rsidP="00EA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AD" w:rsidRDefault="00EA34AD" w:rsidP="00EA34AD">
    <w:pPr>
      <w:pStyle w:val="Nagwek"/>
      <w:jc w:val="right"/>
    </w:pPr>
    <w:r>
      <w:t xml:space="preserve">Załącznik nr </w:t>
    </w:r>
    <w:r w:rsidR="00093EF2">
      <w:t>2</w:t>
    </w:r>
    <w:r w:rsidR="009424AC">
      <w:t>c</w:t>
    </w:r>
    <w:r>
      <w:t xml:space="preserve"> do SWZ nr DZ.DL.341</w:t>
    </w:r>
    <w:r w:rsidR="00A60CC6">
      <w:t>.95.</w:t>
    </w:r>
    <w: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F17"/>
    <w:multiLevelType w:val="hybridMultilevel"/>
    <w:tmpl w:val="5636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1B07"/>
    <w:multiLevelType w:val="hybridMultilevel"/>
    <w:tmpl w:val="6E5C4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1A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653B5"/>
    <w:multiLevelType w:val="hybridMultilevel"/>
    <w:tmpl w:val="A80A2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D525D"/>
    <w:multiLevelType w:val="hybridMultilevel"/>
    <w:tmpl w:val="4D86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D12E2"/>
    <w:multiLevelType w:val="hybridMultilevel"/>
    <w:tmpl w:val="57D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E535B"/>
    <w:multiLevelType w:val="hybridMultilevel"/>
    <w:tmpl w:val="184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507A7"/>
    <w:multiLevelType w:val="hybridMultilevel"/>
    <w:tmpl w:val="A4B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5417E"/>
    <w:multiLevelType w:val="hybridMultilevel"/>
    <w:tmpl w:val="30C4402A"/>
    <w:lvl w:ilvl="0" w:tplc="798C8D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21"/>
  </w:num>
  <w:num w:numId="8">
    <w:abstractNumId w:val="19"/>
  </w:num>
  <w:num w:numId="9">
    <w:abstractNumId w:val="1"/>
  </w:num>
  <w:num w:numId="10">
    <w:abstractNumId w:val="15"/>
  </w:num>
  <w:num w:numId="11">
    <w:abstractNumId w:val="8"/>
  </w:num>
  <w:num w:numId="12">
    <w:abstractNumId w:val="18"/>
  </w:num>
  <w:num w:numId="13">
    <w:abstractNumId w:val="6"/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  <w:num w:numId="18">
    <w:abstractNumId w:val="17"/>
  </w:num>
  <w:num w:numId="19">
    <w:abstractNumId w:val="20"/>
  </w:num>
  <w:num w:numId="20">
    <w:abstractNumId w:val="4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AD"/>
    <w:rsid w:val="000435EB"/>
    <w:rsid w:val="00046D28"/>
    <w:rsid w:val="00093EF2"/>
    <w:rsid w:val="0023027E"/>
    <w:rsid w:val="00372C19"/>
    <w:rsid w:val="00502A1E"/>
    <w:rsid w:val="00657DE2"/>
    <w:rsid w:val="008B7493"/>
    <w:rsid w:val="008C5DD8"/>
    <w:rsid w:val="008F1A4D"/>
    <w:rsid w:val="00900F23"/>
    <w:rsid w:val="009424AC"/>
    <w:rsid w:val="009E1BC9"/>
    <w:rsid w:val="00A60CC6"/>
    <w:rsid w:val="00C34BCE"/>
    <w:rsid w:val="00C53FE8"/>
    <w:rsid w:val="00DC2AE3"/>
    <w:rsid w:val="00E44556"/>
    <w:rsid w:val="00E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3A9E"/>
  <w15:chartTrackingRefBased/>
  <w15:docId w15:val="{647A789E-88A2-4A96-9D37-03A7B57D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4A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6D2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EA34AD"/>
    <w:rPr>
      <w:rFonts w:ascii="Arial" w:eastAsia="MS Outlook" w:hAnsi="Arial"/>
    </w:rPr>
  </w:style>
  <w:style w:type="paragraph" w:styleId="Akapitzlist">
    <w:name w:val="List Paragraph"/>
    <w:basedOn w:val="Normalny"/>
    <w:link w:val="AkapitzlistZnak"/>
    <w:uiPriority w:val="34"/>
    <w:qFormat/>
    <w:rsid w:val="00EA34AD"/>
    <w:pPr>
      <w:ind w:left="720"/>
    </w:pPr>
    <w:rPr>
      <w:rFonts w:ascii="Calibri" w:hAnsi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3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4AD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4AD"/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6D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046D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46D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Piotr Matejczuk</cp:lastModifiedBy>
  <cp:revision>12</cp:revision>
  <dcterms:created xsi:type="dcterms:W3CDTF">2021-10-20T10:30:00Z</dcterms:created>
  <dcterms:modified xsi:type="dcterms:W3CDTF">2021-10-26T09:28:00Z</dcterms:modified>
</cp:coreProperties>
</file>