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FD" w:rsidRPr="00DB73FD" w:rsidRDefault="00B32907" w:rsidP="00DB73FD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Część </w:t>
      </w:r>
      <w:r w:rsidR="0070716C">
        <w:rPr>
          <w:rFonts w:ascii="Arial Narrow" w:eastAsia="Times New Roman" w:hAnsi="Arial Narrow" w:cs="Times New Roman"/>
          <w:b/>
        </w:rPr>
        <w:t>III</w:t>
      </w:r>
      <w:r w:rsidR="00DB73FD" w:rsidRPr="00DB73FD">
        <w:rPr>
          <w:rFonts w:ascii="Arial Narrow" w:eastAsia="Times New Roman" w:hAnsi="Arial Narrow" w:cs="Times New Roman"/>
          <w:b/>
        </w:rPr>
        <w:t xml:space="preserve"> (Zadanie nr </w:t>
      </w:r>
      <w:r w:rsidR="0070716C">
        <w:rPr>
          <w:rFonts w:ascii="Arial Narrow" w:eastAsia="Times New Roman" w:hAnsi="Arial Narrow" w:cs="Times New Roman"/>
          <w:b/>
        </w:rPr>
        <w:t>3</w:t>
      </w:r>
      <w:r w:rsidR="00DB73FD" w:rsidRPr="00DB73FD">
        <w:rPr>
          <w:rFonts w:ascii="Arial Narrow" w:eastAsia="Times New Roman" w:hAnsi="Arial Narrow" w:cs="Times New Roman"/>
          <w:b/>
        </w:rPr>
        <w:t>)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DB73FD">
        <w:rPr>
          <w:rFonts w:ascii="Arial Narrow" w:eastAsia="Times New Roman" w:hAnsi="Arial Narrow" w:cs="Times New Roman"/>
          <w:i/>
        </w:rPr>
        <w:t>Wykonanie prac utrzymaniowych i konserwacyjnych urządzeń zlokalizowanych na terenie miasta Poznania, związanych z systemem dynamicznego ważenia pojazdów, systemem wykrywania pojazdów wjeżdżających na skrzyżowanie na czerwonym sygnale, systemem pomiaru odcinkowego prędkości</w:t>
      </w:r>
      <w:r w:rsidR="0070716C">
        <w:rPr>
          <w:rFonts w:ascii="Arial Narrow" w:eastAsia="Times New Roman" w:hAnsi="Arial Narrow" w:cs="Times New Roman"/>
          <w:i/>
        </w:rPr>
        <w:t>.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2F047B" w:rsidRDefault="002F047B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Do obowiązków Wykonawcy należy w szczególności: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bieżąca kontrola i nadzór nad sprawnością i prawidłowym działaniem urządzeń opisanych w niniejszej specyfikacji,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wykonywanie bieżących i okresowych prac konserwacyjnych urządzeń 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prowadzenie dokumentacji w postaci Dziennika Eksploatacji (w formie elektronicznej) oraz rejestrowanie informacji o awariach i zakłóceniach w pracy urządzeń (wraz z godziną zdarzenia oraz rozpoczęcia i zakończenia usuwania awarii), naprawach, przeglądach i kontrolach;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dokonywanie innych niezbędnych prac i czynności zgodnie z wykazem czynno</w:t>
      </w:r>
      <w:r w:rsidR="0070716C">
        <w:rPr>
          <w:rFonts w:ascii="Arial Narrow" w:eastAsia="Times New Roman" w:hAnsi="Arial Narrow" w:cs="Times New Roman"/>
          <w:color w:val="000000"/>
          <w:spacing w:val="-7"/>
          <w:lang w:eastAsia="pl-PL"/>
        </w:rPr>
        <w:t>ści konserwacyjno – serwisowych,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utrzymanie zapasu części zamiennych oraz środków i materiałów eksploatacyjnych;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ponoszenie kosztów eksploatacyjnych, kosztów zabezpieczenia wykonywanych robót;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Wykonawca zobowiązany jest do wymiany elementów eksploatacyjnych zgodnie z zaleceniami producenta i prowadzonymi kontrolami sprzętu.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Wykonawca zobowiązany jest do utrzymywania Systemu w pełnej sprawności technicznej i użytkowej zapewniającej: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obrazu,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komunikatów,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prawidłowy stan zabezpieczeń na układach pomiarowych energii elektrycznej,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ochronę przeciwporażeniową naziemnych urządzeń energetycznych zgodnie z obowiązującymi przepisami,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czystość i estetyczny wygląd urządzeń,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utrzymywanie w sprawności układów detekcji wszystkich użytkowników ruchu.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Na żądanie Zamawiającego, w każdym czasie Wykonawca zobowiązany jest do sporządzenia  raportów, mówiących o stanie technicznym urządzeń.</w:t>
      </w:r>
    </w:p>
    <w:p w:rsidR="005C0413" w:rsidRPr="00D62174" w:rsidRDefault="009F5ABE" w:rsidP="009F5ABE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D62174">
        <w:rPr>
          <w:rFonts w:ascii="Arial Narrow" w:eastAsia="Times New Roman" w:hAnsi="Arial Narrow" w:cs="Times New Roman"/>
          <w:b/>
        </w:rPr>
        <w:t xml:space="preserve">Pojęcie „przywrócenie działania po awarii” Zamawiający rozumie usunięcie awarii bez nakładów materiałowych. W przypadku gdy usunięcie awarii wymagać będzie nakładów materiałowych </w:t>
      </w:r>
      <w:r w:rsidR="00D62174" w:rsidRPr="00D62174">
        <w:rPr>
          <w:rFonts w:ascii="Arial Narrow" w:eastAsia="Times New Roman" w:hAnsi="Arial Narrow" w:cs="Times New Roman"/>
          <w:b/>
        </w:rPr>
        <w:t>usunięcie awarii będzie odbywało się na podstawie odrębnych zleceń po wcześniejszej akceptacji przez Zamawiającego przedłożonego kosztorysu przez Wykonawcę.</w:t>
      </w: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kontroli przejazdu na czerwonym świetle</w:t>
      </w:r>
      <w:r w:rsidR="002F047B">
        <w:rPr>
          <w:rFonts w:ascii="Arial Narrow" w:eastAsia="Times New Roman" w:hAnsi="Arial Narrow" w:cs="Times New Roman"/>
          <w:b/>
        </w:rPr>
        <w:t>.</w:t>
      </w: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System kontroli przejazdu na czerwonym świetle rejestruje i identyfikuje pojazdy, które wjechały na skrzyżowanie pomimo zakończenia wyświetlania sygnału zezwalającego na wjazd przez odpowiedni dla danej grupy sygnalizator. System składa się z kamer</w:t>
      </w:r>
      <w:r w:rsidRPr="00DB73FD">
        <w:rPr>
          <w:rFonts w:ascii="Arial Narrow" w:eastAsia="Times New Roman" w:hAnsi="Arial Narrow" w:cs="Times New Roman"/>
          <w:color w:val="FF0000"/>
        </w:rPr>
        <w:t xml:space="preserve"> </w:t>
      </w:r>
      <w:r w:rsidRPr="00DB73FD">
        <w:rPr>
          <w:rFonts w:ascii="Arial Narrow" w:eastAsia="Times New Roman" w:hAnsi="Arial Narrow" w:cs="Times New Roman"/>
        </w:rPr>
        <w:t>SD BOSCH DINION NBN-498-11p zainstalowanych na wysięgniku sygnalizacyjnym danego wlotu (kamery służące do rozpoznawania tablic rejestracyjnych), kamery poglądowej wysokiej rozdzielczości HD BOSH DINION 71022-B zainstalowanej ok. 30m przed linią zatrzymania i skierowaną w stronę skrzyżowania oraz szafki z urządzeniami sieciowymi i komputerem służącym do analizy obrazu przesyłanego z kamer.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Kamery poglądowe oraz kamery rozpoznawania tablic rejestracyjnych zamknięte są w obudowie UHO-HBGS-10 posiadające wentylator i grzałkę zasilane napięciem 24VDC z zasilacza HLG-320H-24A z szafki zainstalowanej na słupie. Każda kamera SD pozwala na nadzór pojazdów na jednym pasie ruchu i posiada również zewnętrzny oświetlacz podczerwieni zamocowany pod kamerą. Liczba zastosowanych kamer odpowiada liczbie nadzorowanych pasów i zależna jest od lokalizacji. Wszystkie kamery podłączone są przewodami UTP do szafki w której znajduje się sterownik systemu. Również zasilanie pobierane jest z szafki instalowanej na konstrukcji znajdującej się przed skrzyżowaniem.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 xml:space="preserve">Wewnątrz szafki znajduje się bezwentylatorowy komputer przemysłowy NEXCOM NISE 3600M z procesorem i7 i 4GB pamięci RAM. Służy on do wykonywania niezbędnych obliczeń i analizy obrazu z kamer. </w:t>
      </w:r>
      <w:r w:rsidRPr="00DB73FD">
        <w:rPr>
          <w:rFonts w:ascii="Arial Narrow" w:eastAsia="Times New Roman" w:hAnsi="Arial Narrow" w:cs="Times New Roman"/>
        </w:rPr>
        <w:lastRenderedPageBreak/>
        <w:t xml:space="preserve">Wewnątrz szafki znajdują się jeszcze zabezpieczenia nadprądowe, zasilacz impulsowy, zabezpieczenia przeciwprzepięciowe, switch MikroTik 260 GSP i przełącznica światłowodowa (jeśli wymaga tego lokalizacja). 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Stacja zasilana jest napięciem 230V prądu zmiennego z najbliższego sterownika sygnalizacji świetlnej. Również komunikacja zapewniona jest przez bezpośrednie wpięcie przewodu UTP lub światłowodowego do switcha wewnątrz stacji i switcha sieci szkieletowej lub pośredniego switcha agregującego w szafach elektrycznych na skrzyżowaniu.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Poniżej przedstawiono lokalizacje stacji  kontroli przejazdu na czerwonym świetle i liczbę nadzorowanych pasów.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18"/>
        <w:gridCol w:w="4586"/>
      </w:tblGrid>
      <w:tr w:rsidR="00DB73FD" w:rsidRPr="00DB73FD" w:rsidTr="00311F22">
        <w:trPr>
          <w:trHeight w:val="7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lang w:val="en-US"/>
              </w:rPr>
              <w:t>Lp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Lokalizacja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>Wlot - liczba pasów</w:t>
            </w:r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Hetmańska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Hetmańska Wschód – 2 pasy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Hetmańska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Hetmańska Zachód – 2 pasy</w:t>
            </w:r>
          </w:p>
        </w:tc>
      </w:tr>
      <w:tr w:rsidR="00DB73FD" w:rsidRPr="00DB73FD" w:rsidTr="00311F22">
        <w:trPr>
          <w:trHeight w:val="42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 - Żeromskiego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Przbyszewskiego -2 pasy na wprost</w:t>
            </w:r>
          </w:p>
        </w:tc>
      </w:tr>
      <w:tr w:rsidR="00DB73FD" w:rsidRPr="00DB73FD" w:rsidTr="00311F22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 - Żeromskiego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Żeromskiego -2 pasy na wprost</w:t>
            </w:r>
          </w:p>
        </w:tc>
      </w:tr>
      <w:tr w:rsidR="00DB73FD" w:rsidRPr="00DB73FD" w:rsidTr="00311F22">
        <w:trPr>
          <w:trHeight w:val="29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Bukowska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PN -2 pasy na wprost</w:t>
            </w:r>
          </w:p>
        </w:tc>
      </w:tr>
      <w:tr w:rsidR="00DB73FD" w:rsidRPr="00DB73FD" w:rsidTr="00311F22">
        <w:trPr>
          <w:trHeight w:val="7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Bukowska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PD -2 pasy na wprost</w:t>
            </w:r>
          </w:p>
        </w:tc>
      </w:tr>
      <w:tr w:rsidR="00DB73FD" w:rsidRPr="00DB73FD" w:rsidTr="00311F22">
        <w:trPr>
          <w:trHeight w:val="24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od Junikowa - pas lewy skrajny</w:t>
            </w:r>
          </w:p>
        </w:tc>
      </w:tr>
      <w:tr w:rsidR="00DB73FD" w:rsidRPr="00DB73FD" w:rsidTr="00311F22">
        <w:trPr>
          <w:trHeight w:val="2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PD - 2 pasy prawe</w:t>
            </w:r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PN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1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Matejki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 - 2 pasy</w:t>
            </w:r>
          </w:p>
        </w:tc>
      </w:tr>
      <w:tr w:rsidR="00DB73FD" w:rsidRPr="00DB73FD" w:rsidTr="00311F22">
        <w:trPr>
          <w:trHeight w:val="19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Matejki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do Centrum - 2 pasy</w:t>
            </w:r>
          </w:p>
        </w:tc>
      </w:tr>
      <w:tr w:rsidR="00DB73FD" w:rsidRPr="00DB73FD" w:rsidTr="00311F22">
        <w:trPr>
          <w:trHeight w:val="2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Most Teatralny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od Kaponiery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Arciszewskiego - Reymonta - Hetmańska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od Hetmańskiej - 2 pasy</w:t>
            </w:r>
          </w:p>
        </w:tc>
      </w:tr>
      <w:tr w:rsidR="00DB73FD" w:rsidRPr="00DB73FD" w:rsidTr="00311F22">
        <w:trPr>
          <w:trHeight w:val="3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Jugosłowiańska - Bułgarska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28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Jugosłowiańska - Bułgarska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Junikowa - 2 pasy na wprost</w:t>
            </w:r>
          </w:p>
        </w:tc>
      </w:tr>
      <w:tr w:rsidR="00DB73FD" w:rsidRPr="00DB73FD" w:rsidTr="00311F22">
        <w:trPr>
          <w:trHeight w:val="19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Grochowska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Grochowska od ul.Rycerskiej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Grochowska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Grochowska od ul.Promienistej</w:t>
            </w:r>
          </w:p>
        </w:tc>
      </w:tr>
      <w:tr w:rsidR="00DB73FD" w:rsidRPr="00DB73FD" w:rsidTr="00311F22">
        <w:trPr>
          <w:trHeight w:val="2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Rawicka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wlot od Autostrady</w:t>
            </w:r>
          </w:p>
        </w:tc>
      </w:tr>
      <w:tr w:rsidR="00DB73FD" w:rsidRPr="00DB73FD" w:rsidTr="00311F22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 Jadwigi - Półwiejska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Wloty od Królowej Jagwigi Wschodni 2 pasy</w:t>
            </w:r>
          </w:p>
        </w:tc>
      </w:tr>
      <w:tr w:rsidR="00DB73FD" w:rsidRPr="00DB73FD" w:rsidTr="00311F22">
        <w:trPr>
          <w:trHeight w:val="5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 Jadwigi - Półwiejska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Wloty od Królowej Jagwigi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Zachodni 2 pasy</w:t>
            </w:r>
          </w:p>
        </w:tc>
      </w:tr>
    </w:tbl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Elementy systemu</w:t>
      </w:r>
    </w:p>
    <w:p w:rsidR="00A05005" w:rsidRPr="00DB73FD" w:rsidRDefault="00A05005" w:rsidP="00DB73FD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4834"/>
        <w:gridCol w:w="905"/>
      </w:tblGrid>
      <w:tr w:rsidR="007C63A1" w:rsidRPr="007C63A1" w:rsidTr="00A05005">
        <w:trPr>
          <w:trHeight w:val="276"/>
        </w:trPr>
        <w:tc>
          <w:tcPr>
            <w:tcW w:w="3310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 xml:space="preserve">Lokalizacja 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Rodzaj/Model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Ilość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Dąbrowskiego - Żeromskiego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Bukowska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Grunwaldzka - Matejki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Most Teatralny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Arciszewskiego - Reymonta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Jugosłowiańska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Grochowska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Rawicka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Królowej Jadwigi / Półwiejska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dynamicznego ważenia pojazdów w ruchu WIM</w:t>
      </w:r>
    </w:p>
    <w:p w:rsidR="00DB73FD" w:rsidRPr="00DB73FD" w:rsidRDefault="00DB73FD" w:rsidP="00DB73FD">
      <w:pPr>
        <w:spacing w:after="0" w:line="240" w:lineRule="auto"/>
        <w:ind w:left="360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System preselekcyjnego ważenia pojazdów w ruchu (WIM-P: Weight in Motion Preselection)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umożliwia automatyczne wykrywanie i identyfikację pojazdów przeciążonych lub zbyt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wysokich bez ich zatrzymywania. W ramach realizacji systemu ITS Poznań wybudowano 2 punkty pomiarowe: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Głogowskiej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Dąbrowskiego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Stacje pomiarową tworzą następujące elementy: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>bramownica kratowa na ul. Dąbrowskiego, na ul. Głogowskiej konstrukcja wsporcza tablicy VMS, konstrukcje zabezpieczone barierami energochłonnymi;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poglądowa monitorująca wybrany pas ruchu typu </w:t>
      </w:r>
      <w:r w:rsidRPr="00DB73FD">
        <w:rPr>
          <w:rFonts w:ascii="Arial Narrow" w:eastAsia="Times New Roman" w:hAnsi="Arial Narrow" w:cs="ArialMT"/>
          <w:lang w:eastAsia="pl-PL"/>
        </w:rPr>
        <w:t>BOSCH NBN-921-P, z obiektywem BOSCH VLG-3V3813-MP3 zainstalowanej w obudowie zewnętrznej BOSCH UHO-HBGS-10 (~24V),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pomiarowa, umieszczona centralnie nad pasem ruchu, służąca do identyfikacji pojazdu potencjalnie popełniającego wykroczenie (ANPR/MMR), typu </w:t>
      </w:r>
      <w:r w:rsidRPr="00DB73FD">
        <w:rPr>
          <w:rFonts w:ascii="Arial Narrow" w:eastAsia="Times New Roman" w:hAnsi="Arial Narrow" w:cs="ArialMT"/>
          <w:lang w:eastAsia="pl-PL"/>
        </w:rPr>
        <w:t>SD BOSCH NBN-498-11P, z obiektywem BOSCH LTC3674/20, oświetlaczem podczerwieni BOSCH UFLED30-9BD w obudowie zewnętrznej BOSCH UHO-HBGS-10 (~24V)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system czujników kwarcowych </w:t>
      </w:r>
      <w:r w:rsidRPr="00DB73FD">
        <w:rPr>
          <w:rFonts w:ascii="Arial Narrow" w:eastAsia="Times New Roman" w:hAnsi="Arial Narrow" w:cs="ArialMT"/>
          <w:lang w:eastAsia="pl-PL"/>
        </w:rPr>
        <w:t xml:space="preserve">Kistler Lineas® Quartz Sensor (typ 9195F) </w:t>
      </w:r>
      <w:r w:rsidRPr="00DB73FD">
        <w:rPr>
          <w:rFonts w:ascii="Arial Narrow" w:eastAsia="SymbolMT" w:hAnsi="Arial Narrow" w:cs="Times New Roman"/>
        </w:rPr>
        <w:t>wraz z właściwym oprogramowaniem; czujniki umieszczone są w nawierzchni jezdni w formie dwóch pasów pomiarowych (weryfikacja pomiarów) w odległości 4,5 m od siebie;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pętle indukcyjne, umieszczonych w nawierzchni jezdni w konfiguracji 2 pętle na każdym pasie ruchu;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terminal obliczeniowy, zwierający komputer NEXCOM NISE 3500M, sterownik, transformator wraz z oprogramowanie, szafka terminala Rittal CS 9791.045 na wysokości ok. 2,5 m nad powierzchnią ziemi;</w:t>
      </w:r>
    </w:p>
    <w:p w:rsidR="00A95B96" w:rsidRDefault="00A95B96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5910"/>
        <w:gridCol w:w="3433"/>
      </w:tblGrid>
      <w:tr w:rsidR="00DB73FD" w:rsidRPr="00DB73FD" w:rsidTr="00DB73FD">
        <w:trPr>
          <w:trHeight w:val="311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8"/>
                <w:szCs w:val="32"/>
                <w:lang w:eastAsia="pl-PL"/>
              </w:rPr>
              <w:lastRenderedPageBreak/>
              <w:t xml:space="preserve">elementy systemu WIM  </w:t>
            </w:r>
          </w:p>
        </w:tc>
      </w:tr>
      <w:tr w:rsidR="00DB73FD" w:rsidRPr="00DB73FD" w:rsidTr="00DB73FD">
        <w:trPr>
          <w:trHeight w:val="264"/>
        </w:trPr>
        <w:tc>
          <w:tcPr>
            <w:tcW w:w="9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Wagi Preselekcyjne WIM</w:t>
            </w:r>
          </w:p>
        </w:tc>
      </w:tr>
      <w:tr w:rsidR="00DB73FD" w:rsidRPr="00DB73FD" w:rsidTr="00DB73FD">
        <w:trPr>
          <w:trHeight w:val="450"/>
        </w:trPr>
        <w:tc>
          <w:tcPr>
            <w:tcW w:w="9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Dąbrowskiego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 NeuroCar WIM-controler-A</w:t>
            </w: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ANPR L1 Bosch Dinion NBN-71013 HD</w:t>
            </w: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OV Bosch Dinion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NexCom NISE 3600</w:t>
            </w: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Głogowskiej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 NeuroCar WIM-controler-A</w:t>
            </w: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ANPR L1 Bosch Dinion NBN-71013 HD</w:t>
            </w:r>
          </w:p>
        </w:tc>
      </w:tr>
      <w:tr w:rsidR="00DB73FD" w:rsidRPr="009F5ABE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OV Bosch Dinion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NexCom NISE 3600</w:t>
            </w:r>
          </w:p>
        </w:tc>
      </w:tr>
    </w:tbl>
    <w:p w:rsidR="00CA545A" w:rsidRDefault="00CA545A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E6739C">
      <w:pPr>
        <w:pStyle w:val="Akapitzlist"/>
        <w:jc w:val="both"/>
        <w:rPr>
          <w:rFonts w:ascii="Arial Narrow" w:hAnsi="Arial Narrow"/>
        </w:rPr>
      </w:pPr>
    </w:p>
    <w:p w:rsidR="00E6739C" w:rsidRDefault="001158FC" w:rsidP="00E6739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Czynności podstawowe </w:t>
      </w:r>
      <w:r w:rsidR="000D2021">
        <w:rPr>
          <w:rFonts w:ascii="Arial Narrow" w:hAnsi="Arial Narrow"/>
        </w:rPr>
        <w:t xml:space="preserve">i czasy realizacji </w:t>
      </w:r>
      <w:r>
        <w:rPr>
          <w:rFonts w:ascii="Arial Narrow" w:hAnsi="Arial Narrow"/>
        </w:rPr>
        <w:t>wskazano w poniższej tabeli.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6852"/>
        <w:gridCol w:w="813"/>
        <w:gridCol w:w="969"/>
      </w:tblGrid>
      <w:tr w:rsidR="0070716C" w:rsidRPr="0070716C" w:rsidTr="0070716C">
        <w:trPr>
          <w:trHeight w:val="276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71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Wykonanie prac serwisowych przy WIM RL</w:t>
            </w:r>
          </w:p>
        </w:tc>
      </w:tr>
      <w:tr w:rsidR="0070716C" w:rsidRPr="0070716C" w:rsidTr="0070716C">
        <w:trPr>
          <w:trHeight w:val="1056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70716C" w:rsidRPr="0070716C" w:rsidTr="0070716C">
        <w:trPr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716C" w:rsidRPr="0070716C" w:rsidRDefault="0070716C" w:rsidP="00D621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Stacje wykrywania  przejazdów na czerwonym świetle (szt. 20) 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toru wizji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ukierunkowania kamer w stosunku do pasów ruchu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wodą obudowy i szybki z zewnątrz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bookmarkStart w:id="0" w:name="_GoBack"/>
        <w:bookmarkEnd w:id="0"/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obudowy i szybki wewnątrz obudowy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dzień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nocy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wartości wszelkich zabezpieczeń co do zgodności z dokumentacją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napięć wejściowych i wyjściowych zasilaczy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pewności połączeń kablowych i przewodów, dokręcenie połączeń śrubowych niepewnych lub wymiana złącz sprężynowych w razie potrzeby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podłączenia uziemienia do obudowy 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WIM (system ważenia pojazdów) wraz z urzadzeniami (szt. 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poprawności wprowadzenia kabli i przewodów, w razie potrzeby czyszczenie skrzynki z wpustami. Kontrola położenia i szczelności przepustu izolowanego kabla.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szczelności szaf, sprawdzenie ogrzewania i panującej temperatury,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Czyszczenie obudowy/ szaf wewnątrz i zewnątrz (oprócz Graffiti).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funkcjonowania, ew. justowanie urządzeń sterujących (modułu sterującego, kanału wejściowowyjściowego, modemu), także po awarii lub wyłączeniu zasilania oraz po wyłączeniu pozostałych podzespołów zgodnie z TLS, sprawdzenie kontrolnej jednostki wskaźnikowej na panelu sterowania.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jednostek komunikacyjnych łącznie z modemem i ew. usunięcie awarii przy przesyłaniu danych w obrębie urządzenia przydrożnego.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wyłącznika różnicowoprądowego za pomocą przycisku testującego,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rezystancji uziemiania wraz ze sporządzeniem odrębnej dokumentacji z wynikami pomiarowymi,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uziemienia ochronnego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ochrony przepięciowej wraz ze sporządzeniem odrębnej dokumentacji z wynikami pomiarowymi, ew. wymiana zabezpieczenia.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Pomiar rezystancji izolacji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i czyszczenie wszystkich otworów wentylacyjnych w szafach i obudowach.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Urządzenia do pomiaru nacisku osi na podłoże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wzrokowa urządzeń do pomiaru nacisku osi na podłoże i jezdni bezpośrednio w pobliżu czujników pod kątem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urządzeń do pomiaru nacisku osi na podłoże: zasilania, gromadzenia danych na nośnikach pamięci w urządzeniu i przesyłania danych do centrali kontroli ruchu.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Optyczne i akustyczne sprawdzenie urządzenia z brzegu jezdni. W szczególności kontrola mocowania prowadnicy przy czujnikach pomiaru nacisku osi na podłoże. Kontrola wiarygodności równomiernego pomiaru masy przez przekrój pomiarowy, kontrola ustawień urządzenia.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równego położenia czujników w nawierzchni drogi; ew. korekta i wyjustowanie położenia; kontrola prawidłowego stanu czujników w jezdni (mocowanie w jezdni i stan elementów mocujących czujniki) i ew. ustawienie/ poprawienie lub wymiana mocowania czujników.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parametrów elektrycznych (rezystancji , rezystancji izolacji, sygnałów wyjścia) czujników wraz ze sporządzeniem odrębnej dokumentacji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Oględziny masy zalewowej.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po przerwie w zasilaniu.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Zalewanie rys w jezdni w odległości do 30 cm od urządzenia pomiarowego. W naprawa wykruszeń do 25cm² powierzchni jezdni.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pętli indukcyjnych  pomiar rezystancji izolacji, rezystancji pętli, indukcyjności wraz ze sporządzeniem odrębnego protokołu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ew. korekta ustawienia kamery poglądowej i ANPR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klasyfikacji urządzenia pomiarowego.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Kalibracja stacji zgodnie z COST 323 lub według odrębnie opracowanej procedury kontroli dokładności ważenia przez stację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odczytu tablic rejestracyjnych.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(…)*</w:t>
            </w:r>
          </w:p>
        </w:tc>
      </w:tr>
      <w:tr w:rsidR="0070716C" w:rsidRPr="0070716C" w:rsidTr="0070716C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prace niewyspecyfikowane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</w:tr>
      <w:tr w:rsidR="0070716C" w:rsidRPr="0070716C" w:rsidTr="0070716C">
        <w:trPr>
          <w:trHeight w:val="20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6C" w:rsidRPr="0070716C" w:rsidTr="0070716C">
        <w:trPr>
          <w:trHeight w:val="20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*czas realizacji z oferty Wykonawcy -maksymalny 120 godzin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739C" w:rsidRPr="00CA545A" w:rsidRDefault="00E6739C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0D2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Czynności ogólne:</w:t>
      </w:r>
    </w:p>
    <w:p w:rsidR="000D2021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odczytu tablic rejestracyjnych. W tym celu należy przeprowadzić 15 minutową weryfikację odczytu tablic rejestracyjnych, porównując zliczanie kontrolne z rzeczywistymi odczytami z tablic z zapisu wideo lub zdjęć. Należy sporządzić szczegółowy protokół ze zliczania. W protokole należy podać przede wszystkim występujące różnice między odczytami przez urządzenie a rzeczywistymi numerami tablic pojazdów oraz w jakim stopniu udało się po regulacji osiągnąć zadaną dokładność odczytu. W przypadku nie osiągnięcia zadanych dokładności należy dokonać korekty ustawień kamer ANPR i wykonać drugie zliczanie kontrolne z kolejnym protokołem.</w:t>
      </w:r>
    </w:p>
    <w:p w:rsidR="000D2021" w:rsidRPr="00CA545A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klasyfikacji urządzenia pomiarowego. W tym celu należy przeprowadzić 15 minutowe zliczanie kontrolne. Podczas zliczania należy dokonać rozróżnienia między samochodami ciężarowymi a osobowymi. Należy sporządzić szczegółowy protokół ze zliczania. W protokole należy podać przede wszystkim występujące różnice między zliczonymi, a wykrytymi wartościami oraz w jakim stopniu udało się po regulacji osiągnąć zadaną dokładność zgodnie np. z COST 323 (w zależności od przyjętego schematu klasyfikacji). W tym celu należy ew. wykonać drugie zliczanie kontrolne z kolejnym protokołem.</w:t>
      </w:r>
    </w:p>
    <w:p w:rsidR="005C0413" w:rsidRPr="005C0413" w:rsidRDefault="005C0413" w:rsidP="005C0413">
      <w:pPr>
        <w:rPr>
          <w:rFonts w:ascii="Arial Narrow" w:hAnsi="Arial Narrow"/>
        </w:rPr>
      </w:pPr>
    </w:p>
    <w:sectPr w:rsidR="005C0413" w:rsidRPr="005C0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AD" w:rsidRDefault="00B62BAD" w:rsidP="00DE7381">
      <w:pPr>
        <w:spacing w:after="0" w:line="240" w:lineRule="auto"/>
      </w:pPr>
      <w:r>
        <w:separator/>
      </w:r>
    </w:p>
  </w:endnote>
  <w:endnote w:type="continuationSeparator" w:id="0">
    <w:p w:rsidR="00B62BAD" w:rsidRDefault="00B62BAD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52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5C87" w:rsidRDefault="00B25C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1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1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5C87" w:rsidRDefault="00B25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AD" w:rsidRDefault="00B62BAD" w:rsidP="00DE7381">
      <w:pPr>
        <w:spacing w:after="0" w:line="240" w:lineRule="auto"/>
      </w:pPr>
      <w:r>
        <w:separator/>
      </w:r>
    </w:p>
  </w:footnote>
  <w:footnote w:type="continuationSeparator" w:id="0">
    <w:p w:rsidR="00B62BAD" w:rsidRDefault="00B62BAD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2" w:rsidRDefault="00311F22">
    <w:pPr>
      <w:pStyle w:val="Nagwek"/>
    </w:pPr>
    <w:r>
      <w:t xml:space="preserve">Załącznik nr </w:t>
    </w:r>
    <w:r w:rsidR="0070716C">
      <w:t>3</w:t>
    </w:r>
  </w:p>
  <w:p w:rsidR="00311F22" w:rsidRDefault="00311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2A7"/>
    <w:multiLevelType w:val="multilevel"/>
    <w:tmpl w:val="9260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52B6D"/>
    <w:multiLevelType w:val="hybridMultilevel"/>
    <w:tmpl w:val="7514F558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362"/>
    <w:multiLevelType w:val="hybridMultilevel"/>
    <w:tmpl w:val="90C4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632"/>
    <w:multiLevelType w:val="hybridMultilevel"/>
    <w:tmpl w:val="657469F0"/>
    <w:lvl w:ilvl="0" w:tplc="C9705512">
      <w:start w:val="8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2" w:tplc="B96AAE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28BC"/>
    <w:multiLevelType w:val="hybridMultilevel"/>
    <w:tmpl w:val="CE485DF0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6886"/>
    <w:multiLevelType w:val="hybridMultilevel"/>
    <w:tmpl w:val="CEC6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F15"/>
    <w:multiLevelType w:val="hybridMultilevel"/>
    <w:tmpl w:val="6F161172"/>
    <w:lvl w:ilvl="0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954683"/>
    <w:multiLevelType w:val="hybridMultilevel"/>
    <w:tmpl w:val="96E4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4136"/>
    <w:multiLevelType w:val="hybridMultilevel"/>
    <w:tmpl w:val="CF4888C6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D"/>
    <w:rsid w:val="00002907"/>
    <w:rsid w:val="00003821"/>
    <w:rsid w:val="000075A7"/>
    <w:rsid w:val="00025978"/>
    <w:rsid w:val="00025A30"/>
    <w:rsid w:val="0002646B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2021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58FC"/>
    <w:rsid w:val="0011600F"/>
    <w:rsid w:val="001160B4"/>
    <w:rsid w:val="0013019B"/>
    <w:rsid w:val="001403DC"/>
    <w:rsid w:val="00141DA0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047B"/>
    <w:rsid w:val="002F15BB"/>
    <w:rsid w:val="002F31A2"/>
    <w:rsid w:val="002F5957"/>
    <w:rsid w:val="00302134"/>
    <w:rsid w:val="00303761"/>
    <w:rsid w:val="00303805"/>
    <w:rsid w:val="0030662A"/>
    <w:rsid w:val="003070F0"/>
    <w:rsid w:val="00311F22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0D4"/>
    <w:rsid w:val="00496FB2"/>
    <w:rsid w:val="004A0079"/>
    <w:rsid w:val="004A0FF0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413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14299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0716C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0D89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63A1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652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1A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1751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5ABE"/>
    <w:rsid w:val="009F6F9E"/>
    <w:rsid w:val="00A02001"/>
    <w:rsid w:val="00A05005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25C87"/>
    <w:rsid w:val="00B3094E"/>
    <w:rsid w:val="00B3260E"/>
    <w:rsid w:val="00B32907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BAD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6542A"/>
    <w:rsid w:val="00C72685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A545A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2174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3FD"/>
    <w:rsid w:val="00DB78C3"/>
    <w:rsid w:val="00DB7A75"/>
    <w:rsid w:val="00DC4121"/>
    <w:rsid w:val="00DC59BD"/>
    <w:rsid w:val="00DD1653"/>
    <w:rsid w:val="00DD3777"/>
    <w:rsid w:val="00DE209D"/>
    <w:rsid w:val="00DE717E"/>
    <w:rsid w:val="00DE7381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0F68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6739C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232F7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020F1-4F4B-4BE3-8956-7CEC777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81"/>
  </w:style>
  <w:style w:type="paragraph" w:styleId="Stopka">
    <w:name w:val="footer"/>
    <w:basedOn w:val="Normalny"/>
    <w:link w:val="Stopka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81"/>
  </w:style>
  <w:style w:type="table" w:styleId="Tabela-Siatka">
    <w:name w:val="Table Grid"/>
    <w:basedOn w:val="Standardowy"/>
    <w:uiPriority w:val="39"/>
    <w:rsid w:val="007C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2</cp:revision>
  <dcterms:created xsi:type="dcterms:W3CDTF">2021-05-04T18:56:00Z</dcterms:created>
  <dcterms:modified xsi:type="dcterms:W3CDTF">2021-05-04T18:56:00Z</dcterms:modified>
</cp:coreProperties>
</file>