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9F" w:rsidRDefault="00D17E9F" w:rsidP="00D17E9F">
      <w:pPr>
        <w:pStyle w:val="Nagwek3"/>
        <w:numPr>
          <w:ilvl w:val="0"/>
          <w:numId w:val="1"/>
        </w:numPr>
        <w:jc w:val="both"/>
      </w:pPr>
      <w:r>
        <w:t>poprawę bezpieczeństwa na przejściach dla pieszych poprzez montaż urządzeń bezpieczeństwa ruchu;</w:t>
      </w:r>
    </w:p>
    <w:p w:rsidR="00D17E9F" w:rsidRDefault="00D17E9F" w:rsidP="00D17E9F">
      <w:pPr>
        <w:pStyle w:val="Nagwek3"/>
        <w:numPr>
          <w:ilvl w:val="0"/>
          <w:numId w:val="1"/>
        </w:numPr>
        <w:jc w:val="both"/>
      </w:pPr>
      <w:r>
        <w:t xml:space="preserve">montaż urządzeń bezpieczeństwa ruchu w postaci aktywnego oznakowania przejść dla pieszych przy </w:t>
      </w:r>
      <w:r w:rsidR="00464C3B">
        <w:t>znakach pionowych D-6 w ilości 2</w:t>
      </w:r>
      <w:r>
        <w:t xml:space="preserve"> zestaw</w:t>
      </w:r>
      <w:r w:rsidR="00464C3B">
        <w:t>y (4</w:t>
      </w:r>
      <w:r>
        <w:t xml:space="preserve"> sztuki); </w:t>
      </w:r>
    </w:p>
    <w:p w:rsidR="00D17E9F" w:rsidRDefault="00D17E9F" w:rsidP="00D17E9F">
      <w:pPr>
        <w:pStyle w:val="Nagwek3"/>
        <w:numPr>
          <w:ilvl w:val="0"/>
          <w:numId w:val="1"/>
        </w:numPr>
        <w:jc w:val="both"/>
        <w:rPr>
          <w:rFonts w:eastAsia="Wingdings-Regular"/>
        </w:rPr>
      </w:pPr>
      <w:r>
        <w:rPr>
          <w:rFonts w:eastAsia="Wingdings-Regular"/>
        </w:rPr>
        <w:t xml:space="preserve">aktywne elementy muszą aktywować się wtedy kiedy powinny, czyli tylko w </w:t>
      </w:r>
      <w:r w:rsidR="00464C3B">
        <w:rPr>
          <w:rFonts w:eastAsia="Wingdings-Regular"/>
        </w:rPr>
        <w:t>momencie kiedy pieszy</w:t>
      </w:r>
      <w:r>
        <w:rPr>
          <w:rFonts w:eastAsia="Wingdings-Regular"/>
        </w:rPr>
        <w:t xml:space="preserve"> oczekuje z zamiarem wkroczenia na przejście oraz w trakcie jego pokonywania, nie działać w trybie ciągłym;</w:t>
      </w:r>
    </w:p>
    <w:p w:rsidR="00D17E9F" w:rsidRDefault="00D17E9F" w:rsidP="00D17E9F">
      <w:pPr>
        <w:pStyle w:val="Nagwek3"/>
        <w:numPr>
          <w:ilvl w:val="0"/>
          <w:numId w:val="1"/>
        </w:numPr>
        <w:jc w:val="both"/>
        <w:rPr>
          <w:rFonts w:eastAsia="Wingdings-Regular"/>
        </w:rPr>
      </w:pPr>
      <w:r>
        <w:rPr>
          <w:rFonts w:eastAsia="Wingdings-Regular"/>
        </w:rPr>
        <w:t>moduł zasilający aktywne elementy musi być zintegrowany z oznakowaniem, musi wykorzystywać odnawialne źródło energii, np. energia słoneczna, przy czym odnawialne źródło musi być wbudowane wewnętrznie w moduł główny;</w:t>
      </w:r>
    </w:p>
    <w:p w:rsidR="00D17E9F" w:rsidRDefault="00D17E9F" w:rsidP="00D17E9F">
      <w:pPr>
        <w:pStyle w:val="Nagwek3"/>
        <w:numPr>
          <w:ilvl w:val="0"/>
          <w:numId w:val="1"/>
        </w:numPr>
        <w:jc w:val="both"/>
        <w:rPr>
          <w:rFonts w:eastAsia="Wingdings-Regular"/>
        </w:rPr>
      </w:pPr>
      <w:r>
        <w:rPr>
          <w:rFonts w:eastAsia="Wingdings-Regular"/>
        </w:rPr>
        <w:t>komunikacja miedzy aktywnymi elementami jednego przejścia musi odbywać się w sposób bezprzewodowy tj. moduły główne oraz detektory,</w:t>
      </w:r>
    </w:p>
    <w:p w:rsidR="00D17E9F" w:rsidRDefault="00D17E9F" w:rsidP="00D17E9F">
      <w:pPr>
        <w:pStyle w:val="Nagwek3"/>
        <w:numPr>
          <w:ilvl w:val="0"/>
          <w:numId w:val="1"/>
        </w:numPr>
        <w:jc w:val="both"/>
        <w:rPr>
          <w:rFonts w:eastAsia="Wingdings-Regular"/>
        </w:rPr>
      </w:pPr>
      <w:r>
        <w:rPr>
          <w:rFonts w:eastAsia="Wingdings-Regular"/>
        </w:rPr>
        <w:t xml:space="preserve">należy uwzględnić, że poszczególne elementy systemu mogą być </w:t>
      </w:r>
      <w:bookmarkStart w:id="0" w:name="_GoBack"/>
      <w:bookmarkEnd w:id="0"/>
      <w:r>
        <w:rPr>
          <w:rFonts w:eastAsia="Wingdings-Regular"/>
        </w:rPr>
        <w:t>od siebie oddalone o 30 m, a komunikacja pomiędzy nimi nie może odbywać się za pomocą okablowania;</w:t>
      </w:r>
    </w:p>
    <w:p w:rsidR="00D17E9F" w:rsidRDefault="00D17E9F" w:rsidP="00D17E9F">
      <w:pPr>
        <w:pStyle w:val="Nagwek3"/>
        <w:numPr>
          <w:ilvl w:val="0"/>
          <w:numId w:val="1"/>
        </w:numPr>
        <w:jc w:val="both"/>
        <w:rPr>
          <w:rFonts w:eastAsia="Wingdings-Regular"/>
        </w:rPr>
      </w:pPr>
      <w:r>
        <w:rPr>
          <w:rFonts w:eastAsia="Wingdings-Regular"/>
        </w:rPr>
        <w:t>nie dopuszcza się połączeń kablowych pomiędzy detektorami a modułem głównym;</w:t>
      </w:r>
    </w:p>
    <w:p w:rsidR="00D17E9F" w:rsidRDefault="00D17E9F" w:rsidP="00D17E9F">
      <w:pPr>
        <w:pStyle w:val="Nagwek3"/>
        <w:numPr>
          <w:ilvl w:val="0"/>
          <w:numId w:val="1"/>
        </w:numPr>
        <w:jc w:val="both"/>
        <w:rPr>
          <w:rFonts w:eastAsia="Wingdings-Regular"/>
        </w:rPr>
      </w:pPr>
      <w:r>
        <w:rPr>
          <w:rFonts w:eastAsia="Wingdings-Regular"/>
        </w:rPr>
        <w:t>system detekcji pieszego musi zapewniać zasięg nie mniejszy niż 4m, musi również zapewniać detekcję kierunku po</w:t>
      </w:r>
      <w:r w:rsidR="00464C3B">
        <w:rPr>
          <w:rFonts w:eastAsia="Wingdings-Regular"/>
        </w:rPr>
        <w:t>ruszania się pieszego</w:t>
      </w:r>
      <w:r>
        <w:rPr>
          <w:rFonts w:eastAsia="Wingdings-Regular"/>
        </w:rPr>
        <w:t>, tzn. że system nie aktywuje się kiedy pieszy przechodzi wzdłuż przejścia oraz kiedy z niego schodzi, działa tylko i wyłącznie w momencie wkroczenia pieszego na przejście;</w:t>
      </w:r>
    </w:p>
    <w:p w:rsidR="00D17E9F" w:rsidRDefault="00D17E9F" w:rsidP="00D17E9F">
      <w:pPr>
        <w:pStyle w:val="Nagwek3"/>
        <w:numPr>
          <w:ilvl w:val="0"/>
          <w:numId w:val="1"/>
        </w:numPr>
        <w:jc w:val="both"/>
        <w:rPr>
          <w:rFonts w:eastAsia="Wingdings-Regular"/>
        </w:rPr>
      </w:pPr>
      <w:r>
        <w:rPr>
          <w:rFonts w:eastAsia="Wingdings-Regular"/>
        </w:rPr>
        <w:t>system detekcji nie może być wrażliwy na takie obiekty jak poruszające się gałęzie, liście, itp.,</w:t>
      </w:r>
    </w:p>
    <w:p w:rsidR="00D17E9F" w:rsidRDefault="00D17E9F" w:rsidP="00D17E9F">
      <w:pPr>
        <w:pStyle w:val="Nagwek3"/>
        <w:numPr>
          <w:ilvl w:val="0"/>
          <w:numId w:val="1"/>
        </w:numPr>
        <w:jc w:val="both"/>
        <w:rPr>
          <w:rFonts w:eastAsia="Wingdings-Regular"/>
        </w:rPr>
      </w:pPr>
      <w:r>
        <w:rPr>
          <w:rFonts w:eastAsia="Wingdings-Regular"/>
        </w:rPr>
        <w:t>system detekcji ruchu musi posiadać własne niezależne źródło zasilania;</w:t>
      </w:r>
    </w:p>
    <w:p w:rsidR="00D17E9F" w:rsidRDefault="00D17E9F" w:rsidP="00D17E9F">
      <w:pPr>
        <w:pStyle w:val="Nagwek3"/>
        <w:numPr>
          <w:ilvl w:val="0"/>
          <w:numId w:val="1"/>
        </w:numPr>
        <w:jc w:val="both"/>
        <w:rPr>
          <w:rFonts w:eastAsia="Wingdings-Regular"/>
        </w:rPr>
      </w:pPr>
      <w:r>
        <w:rPr>
          <w:rFonts w:eastAsia="Wingdings-Regular"/>
        </w:rPr>
        <w:t>system aktywnych elementów musi być w pełni niezależny od zewnętrznych źródeł energii i nie może wymagać zaprojektowania i budowy przyłączy energetycznych;</w:t>
      </w:r>
    </w:p>
    <w:p w:rsidR="00D17E9F" w:rsidRDefault="00D17E9F" w:rsidP="00D17E9F">
      <w:pPr>
        <w:pStyle w:val="Nagwek3"/>
        <w:numPr>
          <w:ilvl w:val="0"/>
          <w:numId w:val="1"/>
        </w:numPr>
        <w:jc w:val="both"/>
        <w:rPr>
          <w:rFonts w:eastAsia="Wingdings-Regular"/>
        </w:rPr>
      </w:pPr>
      <w:r>
        <w:rPr>
          <w:rFonts w:eastAsia="Wingdings-Regular"/>
        </w:rPr>
        <w:t>każdy zestaw aktywnych elementów musi być w pełni mobilny i konfigurowalny na</w:t>
      </w:r>
    </w:p>
    <w:p w:rsidR="00D17E9F" w:rsidRDefault="00D17E9F" w:rsidP="00464C3B">
      <w:pPr>
        <w:pStyle w:val="Nagwek3"/>
        <w:ind w:left="360"/>
        <w:jc w:val="both"/>
        <w:rPr>
          <w:rFonts w:eastAsia="Wingdings-Regular"/>
        </w:rPr>
      </w:pPr>
      <w:r>
        <w:rPr>
          <w:rFonts w:eastAsia="Wingdings-Regular"/>
        </w:rPr>
        <w:t>potrzeby ewentualnej zmiany jego lokalizacji;</w:t>
      </w:r>
    </w:p>
    <w:p w:rsidR="00D17E9F" w:rsidRDefault="00D17E9F" w:rsidP="00D17E9F">
      <w:pPr>
        <w:pStyle w:val="Nagwek3"/>
        <w:numPr>
          <w:ilvl w:val="0"/>
          <w:numId w:val="1"/>
        </w:numPr>
        <w:jc w:val="both"/>
        <w:rPr>
          <w:rFonts w:eastAsia="Wingdings-Regular"/>
        </w:rPr>
      </w:pPr>
      <w:r>
        <w:rPr>
          <w:rFonts w:eastAsia="Wingdings-Regular"/>
        </w:rPr>
        <w:t>w każdym module muszą być zamontowane po 2 źródła światła o średnicy 5 cm każde po obu stronach modułów głównych, odległość między diodami LED 60 cm;</w:t>
      </w:r>
    </w:p>
    <w:p w:rsidR="00D17E9F" w:rsidRDefault="00D17E9F" w:rsidP="00D17E9F">
      <w:pPr>
        <w:pStyle w:val="Nagwek3"/>
        <w:numPr>
          <w:ilvl w:val="0"/>
          <w:numId w:val="1"/>
        </w:numPr>
        <w:jc w:val="both"/>
        <w:rPr>
          <w:rFonts w:eastAsia="Wingdings-Regular"/>
        </w:rPr>
      </w:pPr>
      <w:r>
        <w:rPr>
          <w:rFonts w:eastAsia="Wingdings-Regular"/>
        </w:rPr>
        <w:t>aktywne elementy muszą sygnalizo</w:t>
      </w:r>
      <w:r w:rsidR="00464C3B">
        <w:rPr>
          <w:rFonts w:eastAsia="Wingdings-Regular"/>
        </w:rPr>
        <w:t>wać obecność pieszego</w:t>
      </w:r>
      <w:r>
        <w:rPr>
          <w:rFonts w:eastAsia="Wingdings-Regular"/>
        </w:rPr>
        <w:t xml:space="preserve"> oczekującego na przejściu i pozostawać aktywne na czas potrzebny do pokonania całego przejścia przy prędkości 1,0 m/s;</w:t>
      </w:r>
    </w:p>
    <w:p w:rsidR="00D17E9F" w:rsidRDefault="00D17E9F" w:rsidP="00D17E9F">
      <w:pPr>
        <w:pStyle w:val="Nagwek3"/>
        <w:numPr>
          <w:ilvl w:val="0"/>
          <w:numId w:val="1"/>
        </w:numPr>
        <w:jc w:val="both"/>
        <w:rPr>
          <w:rFonts w:eastAsia="Wingdings-Regular"/>
        </w:rPr>
      </w:pPr>
      <w:r>
        <w:rPr>
          <w:rFonts w:eastAsia="Wingdings-Regular"/>
        </w:rPr>
        <w:t>sygnalizacja obecności pieszego musi być widoczna z minimum 500 m, i sygnalizować obecność dla obu kierunków ruchu, przy pomocy świateł ostrzegawczych koloru pomarańczowego lub żółtego,</w:t>
      </w:r>
    </w:p>
    <w:p w:rsidR="00D17E9F" w:rsidRDefault="00D17E9F" w:rsidP="00D17E9F">
      <w:pPr>
        <w:pStyle w:val="Nagwek3"/>
        <w:numPr>
          <w:ilvl w:val="0"/>
          <w:numId w:val="1"/>
        </w:numPr>
        <w:jc w:val="both"/>
      </w:pPr>
      <w:r w:rsidRPr="00D17E9F">
        <w:rPr>
          <w:rFonts w:eastAsia="Wingdings-Regular"/>
          <w:sz w:val="22"/>
          <w:szCs w:val="22"/>
        </w:rPr>
        <w:t>system musi posiadać znak CE oraz spełniać następujące normy: PN EN 12352, PN-ETSI EN 300 220-1, PN-EN 60950- 1 oraz dyrektywy Unii Europejskiej: 2006/95/EC, 2002/95/EC, 2002/96/EC, 1999/519/EC;</w:t>
      </w:r>
    </w:p>
    <w:p w:rsidR="000E7862" w:rsidRDefault="000E7862"/>
    <w:sectPr w:rsidR="000E7862" w:rsidSect="00520F31">
      <w:headerReference w:type="default" r:id="rId7"/>
      <w:pgSz w:w="11906" w:h="16838"/>
      <w:pgMar w:top="851" w:right="991" w:bottom="851" w:left="1417" w:header="796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6C0" w:rsidRDefault="00D616C0" w:rsidP="00D17E9F">
      <w:r>
        <w:separator/>
      </w:r>
    </w:p>
  </w:endnote>
  <w:endnote w:type="continuationSeparator" w:id="0">
    <w:p w:rsidR="00D616C0" w:rsidRDefault="00D616C0" w:rsidP="00D1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6C0" w:rsidRDefault="00D616C0" w:rsidP="00D17E9F">
      <w:r>
        <w:separator/>
      </w:r>
    </w:p>
  </w:footnote>
  <w:footnote w:type="continuationSeparator" w:id="0">
    <w:p w:rsidR="00D616C0" w:rsidRDefault="00D616C0" w:rsidP="00D1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31" w:rsidRDefault="00520F31" w:rsidP="00520F31">
    <w:pPr>
      <w:autoSpaceDE w:val="0"/>
      <w:autoSpaceDN w:val="0"/>
      <w:adjustRightInd w:val="0"/>
      <w:spacing w:beforeLines="20" w:before="48" w:afterLines="20" w:after="48" w:line="276" w:lineRule="auto"/>
      <w:ind w:left="426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Zał. nr 2</w:t>
    </w:r>
  </w:p>
  <w:p w:rsidR="00D17E9F" w:rsidRPr="003E1DAA" w:rsidRDefault="00D17E9F" w:rsidP="00D17E9F">
    <w:pPr>
      <w:autoSpaceDE w:val="0"/>
      <w:autoSpaceDN w:val="0"/>
      <w:adjustRightInd w:val="0"/>
      <w:spacing w:beforeLines="20" w:before="48" w:afterLines="20" w:after="48" w:line="276" w:lineRule="auto"/>
      <w:ind w:left="426"/>
      <w:jc w:val="center"/>
      <w:rPr>
        <w:rFonts w:ascii="Arial" w:hAnsi="Arial" w:cs="Arial"/>
        <w:b/>
      </w:rPr>
    </w:pPr>
    <w:r w:rsidRPr="003E1DAA">
      <w:rPr>
        <w:rFonts w:ascii="Arial" w:hAnsi="Arial" w:cs="Arial"/>
        <w:b/>
      </w:rPr>
      <w:t>Specyfikacja techniczna dotyczy:</w:t>
    </w:r>
  </w:p>
  <w:p w:rsidR="00D17E9F" w:rsidRPr="003E1DAA" w:rsidRDefault="00D17E9F" w:rsidP="00D17E9F">
    <w:pPr>
      <w:autoSpaceDE w:val="0"/>
      <w:autoSpaceDN w:val="0"/>
      <w:adjustRightInd w:val="0"/>
      <w:spacing w:beforeLines="20" w:before="48" w:afterLines="20" w:after="48" w:line="276" w:lineRule="auto"/>
      <w:ind w:left="426"/>
      <w:jc w:val="center"/>
      <w:rPr>
        <w:rFonts w:ascii="Arial" w:hAnsi="Arial" w:cs="Arial"/>
        <w:b/>
      </w:rPr>
    </w:pPr>
    <w:r w:rsidRPr="003E1DAA">
      <w:rPr>
        <w:rFonts w:ascii="Arial" w:hAnsi="Arial" w:cs="Arial"/>
        <w:b/>
      </w:rPr>
      <w:t>montaż solarnej sygnalizacji (przejście aktywne) na przejściu d</w:t>
    </w:r>
    <w:r>
      <w:rPr>
        <w:rFonts w:ascii="Arial" w:hAnsi="Arial" w:cs="Arial"/>
        <w:b/>
      </w:rPr>
      <w:t xml:space="preserve">la pieszych </w:t>
    </w:r>
    <w:r w:rsidR="00464C3B">
      <w:rPr>
        <w:rFonts w:ascii="Arial" w:hAnsi="Arial" w:cs="Arial"/>
        <w:b/>
      </w:rPr>
      <w:t xml:space="preserve">przez ul. </w:t>
    </w:r>
    <w:r w:rsidR="009F6EB4">
      <w:rPr>
        <w:rFonts w:ascii="Arial" w:hAnsi="Arial" w:cs="Arial"/>
        <w:b/>
      </w:rPr>
      <w:t xml:space="preserve">Promienistej </w:t>
    </w:r>
    <w:r w:rsidRPr="003E1DAA">
      <w:rPr>
        <w:rFonts w:ascii="Arial" w:hAnsi="Arial" w:cs="Arial"/>
        <w:b/>
      </w:rPr>
      <w:t xml:space="preserve">przy skrzyżowaniu z ul. </w:t>
    </w:r>
    <w:r w:rsidR="009F6EB4">
      <w:rPr>
        <w:rFonts w:ascii="Arial" w:hAnsi="Arial" w:cs="Arial"/>
        <w:b/>
      </w:rPr>
      <w:t>Rembertowską</w:t>
    </w:r>
    <w:r w:rsidRPr="003E1DAA">
      <w:rPr>
        <w:rFonts w:ascii="Arial" w:hAnsi="Arial" w:cs="Arial"/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FA4"/>
    <w:multiLevelType w:val="hybridMultilevel"/>
    <w:tmpl w:val="E69207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9F"/>
    <w:rsid w:val="000E7862"/>
    <w:rsid w:val="003D59FB"/>
    <w:rsid w:val="00464C3B"/>
    <w:rsid w:val="00520F31"/>
    <w:rsid w:val="008C4342"/>
    <w:rsid w:val="009F6EB4"/>
    <w:rsid w:val="00D17E9F"/>
    <w:rsid w:val="00D616C0"/>
    <w:rsid w:val="00E211AA"/>
    <w:rsid w:val="00E4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D580C"/>
  <w15:chartTrackingRefBased/>
  <w15:docId w15:val="{BD980BC7-FCAD-47E7-832C-7732A72C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17E9F"/>
    <w:pPr>
      <w:keepNext/>
      <w:widowControl w:val="0"/>
      <w:tabs>
        <w:tab w:val="left" w:pos="720"/>
      </w:tabs>
      <w:autoSpaceDE w:val="0"/>
      <w:autoSpaceDN w:val="0"/>
      <w:adjustRightInd w:val="0"/>
      <w:spacing w:before="100"/>
      <w:outlineLvl w:val="2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7E9F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7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E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E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4</cp:revision>
  <dcterms:created xsi:type="dcterms:W3CDTF">2016-10-07T11:44:00Z</dcterms:created>
  <dcterms:modified xsi:type="dcterms:W3CDTF">2018-08-23T10:21:00Z</dcterms:modified>
</cp:coreProperties>
</file>